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3" w:rsidRDefault="00D21963" w:rsidP="00937B35">
      <w:pPr>
        <w:tabs>
          <w:tab w:val="left" w:pos="408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6641" w:rsidRDefault="00786641" w:rsidP="00937B35">
      <w:pPr>
        <w:tabs>
          <w:tab w:val="left" w:pos="408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B35" w:rsidRPr="00BB70EB" w:rsidRDefault="00937B35" w:rsidP="00937B35">
      <w:pPr>
        <w:tabs>
          <w:tab w:val="left" w:pos="408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70EB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F62700" w:rsidRDefault="00937B35" w:rsidP="005B29F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B70EB">
        <w:rPr>
          <w:rFonts w:ascii="Times New Roman" w:hAnsi="Times New Roman" w:cs="Times New Roman"/>
          <w:bCs/>
          <w:sz w:val="36"/>
          <w:szCs w:val="36"/>
        </w:rPr>
        <w:t>проведения расш</w:t>
      </w:r>
      <w:r w:rsidR="00F62700" w:rsidRPr="00BB70EB">
        <w:rPr>
          <w:rFonts w:ascii="Times New Roman" w:hAnsi="Times New Roman" w:cs="Times New Roman"/>
          <w:bCs/>
          <w:sz w:val="36"/>
          <w:szCs w:val="36"/>
        </w:rPr>
        <w:t>иренного заседания Экспертного С</w:t>
      </w:r>
      <w:r w:rsidRPr="00BB70EB">
        <w:rPr>
          <w:rFonts w:ascii="Times New Roman" w:hAnsi="Times New Roman" w:cs="Times New Roman"/>
          <w:bCs/>
          <w:sz w:val="36"/>
          <w:szCs w:val="36"/>
        </w:rPr>
        <w:t xml:space="preserve">овета </w:t>
      </w:r>
      <w:r w:rsidR="00F62700" w:rsidRPr="00BB70EB">
        <w:rPr>
          <w:rFonts w:ascii="Times New Roman" w:hAnsi="Times New Roman" w:cs="Times New Roman"/>
          <w:bCs/>
          <w:sz w:val="36"/>
          <w:szCs w:val="36"/>
        </w:rPr>
        <w:t>при </w:t>
      </w:r>
      <w:r w:rsidRPr="00BB70EB">
        <w:rPr>
          <w:rFonts w:ascii="Times New Roman" w:hAnsi="Times New Roman" w:cs="Times New Roman"/>
          <w:bCs/>
          <w:sz w:val="36"/>
          <w:szCs w:val="36"/>
        </w:rPr>
        <w:t xml:space="preserve">Уполномоченном </w:t>
      </w:r>
      <w:r w:rsidR="00BC1333">
        <w:rPr>
          <w:rFonts w:ascii="Times New Roman" w:hAnsi="Times New Roman" w:cs="Times New Roman"/>
          <w:bCs/>
          <w:sz w:val="36"/>
          <w:szCs w:val="36"/>
        </w:rPr>
        <w:t>по правам человека в Республике </w:t>
      </w:r>
      <w:r w:rsidRPr="00BB70EB">
        <w:rPr>
          <w:rFonts w:ascii="Times New Roman" w:hAnsi="Times New Roman" w:cs="Times New Roman"/>
          <w:bCs/>
          <w:sz w:val="36"/>
          <w:szCs w:val="36"/>
        </w:rPr>
        <w:t xml:space="preserve">Татарстан </w:t>
      </w:r>
    </w:p>
    <w:p w:rsidR="00D21963" w:rsidRDefault="00D21963" w:rsidP="005B29F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86641" w:rsidRPr="00BB70EB" w:rsidRDefault="00786641" w:rsidP="005B29F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37B35" w:rsidRPr="00BB70EB" w:rsidRDefault="00937B35" w:rsidP="00937B3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BB70EB">
        <w:rPr>
          <w:rFonts w:ascii="Times New Roman" w:hAnsi="Times New Roman" w:cs="Times New Roman"/>
          <w:bCs/>
          <w:sz w:val="36"/>
          <w:szCs w:val="36"/>
        </w:rPr>
        <w:t>г. Казань, ул. Пушкина, 66/33</w:t>
      </w:r>
      <w:r w:rsidR="00BB70EB">
        <w:rPr>
          <w:rFonts w:ascii="Times New Roman" w:hAnsi="Times New Roman" w:cs="Times New Roman"/>
          <w:bCs/>
          <w:sz w:val="36"/>
          <w:szCs w:val="36"/>
        </w:rPr>
        <w:tab/>
      </w:r>
      <w:r w:rsidR="00744533">
        <w:rPr>
          <w:rFonts w:ascii="Times New Roman" w:hAnsi="Times New Roman" w:cs="Times New Roman"/>
          <w:bCs/>
          <w:sz w:val="36"/>
          <w:szCs w:val="36"/>
        </w:rPr>
        <w:t xml:space="preserve">                                  </w:t>
      </w:r>
      <w:r w:rsidR="00087FFA">
        <w:rPr>
          <w:rFonts w:ascii="Times New Roman" w:hAnsi="Times New Roman" w:cs="Times New Roman"/>
          <w:bCs/>
          <w:sz w:val="36"/>
          <w:szCs w:val="36"/>
        </w:rPr>
        <w:t>27</w:t>
      </w:r>
      <w:r w:rsidRPr="00BB70EB">
        <w:rPr>
          <w:rFonts w:ascii="Times New Roman" w:hAnsi="Times New Roman" w:cs="Times New Roman"/>
          <w:bCs/>
          <w:sz w:val="36"/>
          <w:szCs w:val="36"/>
        </w:rPr>
        <w:t>.</w:t>
      </w:r>
      <w:r w:rsidR="00087FFA">
        <w:rPr>
          <w:rFonts w:ascii="Times New Roman" w:hAnsi="Times New Roman" w:cs="Times New Roman"/>
          <w:bCs/>
          <w:sz w:val="36"/>
          <w:szCs w:val="36"/>
        </w:rPr>
        <w:t>01</w:t>
      </w:r>
      <w:r w:rsidR="00F1262C">
        <w:rPr>
          <w:rFonts w:ascii="Times New Roman" w:hAnsi="Times New Roman" w:cs="Times New Roman"/>
          <w:bCs/>
          <w:sz w:val="36"/>
          <w:szCs w:val="36"/>
        </w:rPr>
        <w:t>.</w:t>
      </w:r>
      <w:r w:rsidRPr="00BB70EB">
        <w:rPr>
          <w:rFonts w:ascii="Times New Roman" w:hAnsi="Times New Roman" w:cs="Times New Roman"/>
          <w:bCs/>
          <w:sz w:val="36"/>
          <w:szCs w:val="36"/>
        </w:rPr>
        <w:t>202</w:t>
      </w:r>
      <w:r w:rsidR="00087FFA">
        <w:rPr>
          <w:rFonts w:ascii="Times New Roman" w:hAnsi="Times New Roman" w:cs="Times New Roman"/>
          <w:bCs/>
          <w:sz w:val="36"/>
          <w:szCs w:val="36"/>
        </w:rPr>
        <w:t>3</w:t>
      </w:r>
    </w:p>
    <w:p w:rsidR="00937B35" w:rsidRPr="00BB70EB" w:rsidRDefault="00937B35" w:rsidP="00F62700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BB70EB">
        <w:rPr>
          <w:rFonts w:ascii="Times New Roman" w:hAnsi="Times New Roman" w:cs="Times New Roman"/>
          <w:bCs/>
          <w:sz w:val="36"/>
          <w:szCs w:val="36"/>
        </w:rPr>
        <w:t>Министерство культуры</w:t>
      </w:r>
      <w:r w:rsidR="00BB70EB">
        <w:rPr>
          <w:rFonts w:ascii="Times New Roman" w:hAnsi="Times New Roman" w:cs="Times New Roman"/>
          <w:bCs/>
          <w:sz w:val="36"/>
          <w:szCs w:val="36"/>
        </w:rPr>
        <w:tab/>
      </w:r>
      <w:r w:rsidR="00BB70EB">
        <w:rPr>
          <w:rFonts w:ascii="Times New Roman" w:hAnsi="Times New Roman" w:cs="Times New Roman"/>
          <w:bCs/>
          <w:sz w:val="36"/>
          <w:szCs w:val="36"/>
        </w:rPr>
        <w:tab/>
      </w:r>
      <w:r w:rsidR="00744533">
        <w:rPr>
          <w:rFonts w:ascii="Times New Roman" w:hAnsi="Times New Roman" w:cs="Times New Roman"/>
          <w:bCs/>
          <w:sz w:val="36"/>
          <w:szCs w:val="36"/>
        </w:rPr>
        <w:t xml:space="preserve">                             </w:t>
      </w:r>
      <w:r w:rsidRPr="00BB70EB">
        <w:rPr>
          <w:rFonts w:ascii="Times New Roman" w:hAnsi="Times New Roman" w:cs="Times New Roman"/>
          <w:bCs/>
          <w:sz w:val="36"/>
          <w:szCs w:val="36"/>
        </w:rPr>
        <w:t xml:space="preserve"> 1</w:t>
      </w:r>
      <w:r w:rsidR="00087FFA">
        <w:rPr>
          <w:rFonts w:ascii="Times New Roman" w:hAnsi="Times New Roman" w:cs="Times New Roman"/>
          <w:bCs/>
          <w:sz w:val="36"/>
          <w:szCs w:val="36"/>
        </w:rPr>
        <w:t>1.00 – 13</w:t>
      </w:r>
      <w:r w:rsidRPr="00BB70EB">
        <w:rPr>
          <w:rFonts w:ascii="Times New Roman" w:hAnsi="Times New Roman" w:cs="Times New Roman"/>
          <w:bCs/>
          <w:sz w:val="36"/>
          <w:szCs w:val="36"/>
        </w:rPr>
        <w:t>.00</w:t>
      </w:r>
    </w:p>
    <w:p w:rsidR="00937B35" w:rsidRPr="00BB70EB" w:rsidRDefault="00937B35" w:rsidP="00937B35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BB70EB">
        <w:rPr>
          <w:rFonts w:ascii="Times New Roman" w:hAnsi="Times New Roman" w:cs="Times New Roman"/>
          <w:bCs/>
          <w:sz w:val="36"/>
          <w:szCs w:val="36"/>
        </w:rPr>
        <w:t>Республики Татарстан</w:t>
      </w:r>
    </w:p>
    <w:p w:rsidR="00BB70EB" w:rsidRDefault="00BB70EB" w:rsidP="00937B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6641" w:rsidRPr="00BB70EB" w:rsidRDefault="00786641" w:rsidP="00937B3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7B35" w:rsidRPr="00BB70EB" w:rsidRDefault="00937B35" w:rsidP="00F62700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B70EB">
        <w:rPr>
          <w:rFonts w:ascii="Times New Roman" w:hAnsi="Times New Roman" w:cs="Times New Roman"/>
          <w:b/>
          <w:sz w:val="36"/>
          <w:szCs w:val="36"/>
        </w:rPr>
        <w:t xml:space="preserve">Приглашены: </w:t>
      </w:r>
      <w:r w:rsidR="005B29F5" w:rsidRPr="005B29F5">
        <w:rPr>
          <w:rFonts w:ascii="Times New Roman" w:hAnsi="Times New Roman" w:cs="Times New Roman"/>
          <w:sz w:val="36"/>
          <w:szCs w:val="36"/>
        </w:rPr>
        <w:t>заместитель Премьер-министра Р</w:t>
      </w:r>
      <w:r w:rsidR="005B29F5">
        <w:rPr>
          <w:rFonts w:ascii="Times New Roman" w:hAnsi="Times New Roman" w:cs="Times New Roman"/>
          <w:sz w:val="36"/>
          <w:szCs w:val="36"/>
        </w:rPr>
        <w:t xml:space="preserve">еспублики Татарстан </w:t>
      </w:r>
      <w:r w:rsidR="00087FFA">
        <w:rPr>
          <w:rFonts w:ascii="Times New Roman" w:hAnsi="Times New Roman" w:cs="Times New Roman"/>
          <w:sz w:val="36"/>
          <w:szCs w:val="36"/>
        </w:rPr>
        <w:t>Л.Р. </w:t>
      </w:r>
      <w:proofErr w:type="spellStart"/>
      <w:r w:rsidR="00087FFA">
        <w:rPr>
          <w:rFonts w:ascii="Times New Roman" w:hAnsi="Times New Roman" w:cs="Times New Roman"/>
          <w:sz w:val="36"/>
          <w:szCs w:val="36"/>
        </w:rPr>
        <w:t>Фазлеева</w:t>
      </w:r>
      <w:proofErr w:type="spellEnd"/>
      <w:r w:rsidR="005B29F5">
        <w:rPr>
          <w:rFonts w:ascii="Times New Roman" w:hAnsi="Times New Roman" w:cs="Times New Roman"/>
          <w:sz w:val="36"/>
          <w:szCs w:val="36"/>
        </w:rPr>
        <w:t xml:space="preserve">, депутат Государственной Думы Федерального Собрания Российской Федерации Т.П. Ларионова, </w:t>
      </w:r>
      <w:r w:rsidR="00087FFA">
        <w:rPr>
          <w:rFonts w:ascii="Times New Roman" w:hAnsi="Times New Roman" w:cs="Times New Roman"/>
          <w:sz w:val="36"/>
          <w:szCs w:val="36"/>
        </w:rPr>
        <w:t xml:space="preserve">депутат Государственной Думы </w:t>
      </w:r>
      <w:proofErr w:type="gramStart"/>
      <w:r w:rsidR="00087FFA">
        <w:rPr>
          <w:rFonts w:ascii="Times New Roman" w:hAnsi="Times New Roman" w:cs="Times New Roman"/>
          <w:sz w:val="36"/>
          <w:szCs w:val="36"/>
        </w:rPr>
        <w:t>Федерального Собрания Российской Федерации А.З. </w:t>
      </w:r>
      <w:proofErr w:type="spellStart"/>
      <w:r w:rsidR="00087FFA">
        <w:rPr>
          <w:rFonts w:ascii="Times New Roman" w:hAnsi="Times New Roman" w:cs="Times New Roman"/>
          <w:sz w:val="36"/>
          <w:szCs w:val="36"/>
        </w:rPr>
        <w:t>Фаррахов</w:t>
      </w:r>
      <w:proofErr w:type="spellEnd"/>
      <w:r w:rsidR="00087FFA">
        <w:rPr>
          <w:rFonts w:ascii="Times New Roman" w:hAnsi="Times New Roman" w:cs="Times New Roman"/>
          <w:sz w:val="36"/>
          <w:szCs w:val="36"/>
        </w:rPr>
        <w:t>, депутат Государственной Думы Федерального Собрания Российской Федерации</w:t>
      </w:r>
      <w:r w:rsidR="00087FFA" w:rsidRPr="00BB70EB">
        <w:rPr>
          <w:rFonts w:ascii="Times New Roman" w:hAnsi="Times New Roman" w:cs="Times New Roman"/>
          <w:sz w:val="36"/>
          <w:szCs w:val="36"/>
        </w:rPr>
        <w:t xml:space="preserve"> </w:t>
      </w:r>
      <w:r w:rsidR="00087FFA">
        <w:rPr>
          <w:rFonts w:ascii="Times New Roman" w:hAnsi="Times New Roman" w:cs="Times New Roman"/>
          <w:sz w:val="36"/>
          <w:szCs w:val="36"/>
        </w:rPr>
        <w:t xml:space="preserve">А.М. Хамитов, </w:t>
      </w:r>
      <w:r w:rsidRPr="00BB70EB">
        <w:rPr>
          <w:rFonts w:ascii="Times New Roman" w:hAnsi="Times New Roman" w:cs="Times New Roman"/>
          <w:sz w:val="36"/>
          <w:szCs w:val="36"/>
        </w:rPr>
        <w:t xml:space="preserve">представители </w:t>
      </w:r>
      <w:r w:rsidR="00B63023" w:rsidRPr="00B63023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r w:rsidRPr="00BB70EB">
        <w:rPr>
          <w:rFonts w:ascii="Times New Roman" w:hAnsi="Times New Roman" w:cs="Times New Roman"/>
          <w:sz w:val="36"/>
          <w:szCs w:val="36"/>
        </w:rPr>
        <w:t>Президента Республики Татарстан, депутаты Государственного Совета Республики Татарстан, представители Аппарата Кабинета Министров Республики Татарстан и органов исполнительной власти Республики Татарстан, представители территориальных органов федеральных о</w:t>
      </w:r>
      <w:r w:rsidR="00D21963">
        <w:rPr>
          <w:rFonts w:ascii="Times New Roman" w:hAnsi="Times New Roman" w:cs="Times New Roman"/>
          <w:sz w:val="36"/>
          <w:szCs w:val="36"/>
        </w:rPr>
        <w:t>рганов исполнительной власти по </w:t>
      </w:r>
      <w:r w:rsidRPr="00BB70EB">
        <w:rPr>
          <w:rFonts w:ascii="Times New Roman" w:hAnsi="Times New Roman" w:cs="Times New Roman"/>
          <w:sz w:val="36"/>
          <w:szCs w:val="36"/>
        </w:rPr>
        <w:t>Республике Татарстан, судебных орган</w:t>
      </w:r>
      <w:r w:rsidR="00F62700" w:rsidRPr="00BB70EB">
        <w:rPr>
          <w:rFonts w:ascii="Times New Roman" w:hAnsi="Times New Roman" w:cs="Times New Roman"/>
          <w:sz w:val="36"/>
          <w:szCs w:val="36"/>
        </w:rPr>
        <w:t>ов, органов охраны законности и </w:t>
      </w:r>
      <w:r w:rsidRPr="00BB70EB">
        <w:rPr>
          <w:rFonts w:ascii="Times New Roman" w:hAnsi="Times New Roman" w:cs="Times New Roman"/>
          <w:sz w:val="36"/>
          <w:szCs w:val="36"/>
        </w:rPr>
        <w:t>правопорядка Республики Татарстан, представители муниципальных образований Республики Татарстан, общественных организаций, науки и средств массовой информации, общественные помощники Уполн</w:t>
      </w:r>
      <w:r w:rsidR="00F62700" w:rsidRPr="00BB70EB">
        <w:rPr>
          <w:rFonts w:ascii="Times New Roman" w:hAnsi="Times New Roman" w:cs="Times New Roman"/>
          <w:sz w:val="36"/>
          <w:szCs w:val="36"/>
        </w:rPr>
        <w:t>омоченного по </w:t>
      </w:r>
      <w:r w:rsidRPr="00BB70EB">
        <w:rPr>
          <w:rFonts w:ascii="Times New Roman" w:hAnsi="Times New Roman" w:cs="Times New Roman"/>
          <w:sz w:val="36"/>
          <w:szCs w:val="36"/>
        </w:rPr>
        <w:t>правам человека в Республике Татарстан</w:t>
      </w:r>
      <w:r w:rsidR="0039596B" w:rsidRPr="00BB70EB">
        <w:rPr>
          <w:rFonts w:ascii="Times New Roman" w:hAnsi="Times New Roman" w:cs="Times New Roman"/>
          <w:sz w:val="36"/>
          <w:szCs w:val="36"/>
        </w:rPr>
        <w:t xml:space="preserve">, </w:t>
      </w:r>
      <w:r w:rsidR="00F22199">
        <w:rPr>
          <w:rFonts w:ascii="Times New Roman" w:hAnsi="Times New Roman" w:cs="Times New Roman"/>
          <w:sz w:val="36"/>
          <w:szCs w:val="36"/>
        </w:rPr>
        <w:t>У</w:t>
      </w:r>
      <w:r w:rsidR="0039596B" w:rsidRPr="00BB70EB">
        <w:rPr>
          <w:rFonts w:ascii="Times New Roman" w:hAnsi="Times New Roman" w:cs="Times New Roman"/>
          <w:sz w:val="36"/>
          <w:szCs w:val="36"/>
        </w:rPr>
        <w:t>пол</w:t>
      </w:r>
      <w:r w:rsidR="00BB70EB">
        <w:rPr>
          <w:rFonts w:ascii="Times New Roman" w:hAnsi="Times New Roman" w:cs="Times New Roman"/>
          <w:sz w:val="36"/>
          <w:szCs w:val="36"/>
        </w:rPr>
        <w:t>номоченные по </w:t>
      </w:r>
      <w:r w:rsidR="00892A4C" w:rsidRPr="00BB70EB">
        <w:rPr>
          <w:rFonts w:ascii="Times New Roman" w:hAnsi="Times New Roman" w:cs="Times New Roman"/>
          <w:sz w:val="36"/>
          <w:szCs w:val="36"/>
        </w:rPr>
        <w:t>правам человека в </w:t>
      </w:r>
      <w:r w:rsidR="0039596B" w:rsidRPr="00BB70EB">
        <w:rPr>
          <w:rFonts w:ascii="Times New Roman" w:hAnsi="Times New Roman" w:cs="Times New Roman"/>
          <w:sz w:val="36"/>
          <w:szCs w:val="36"/>
        </w:rPr>
        <w:t>субъектах Российской Федерации Приволжского федерального округа</w:t>
      </w:r>
      <w:r w:rsidRPr="00BB70EB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BB70EB" w:rsidRPr="00BB70EB" w:rsidRDefault="00BB70EB" w:rsidP="00F62700">
      <w:pPr>
        <w:pStyle w:val="a4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9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29"/>
      </w:tblGrid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3959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087FF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.45 – 1</w:t>
            </w:r>
            <w:r w:rsidR="00087FF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  <w:tc>
          <w:tcPr>
            <w:tcW w:w="7529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Регистрация приглашенных и участников </w:t>
            </w:r>
            <w:r w:rsidRPr="00BB70E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расширенного </w:t>
            </w:r>
            <w:r w:rsidR="00F62700" w:rsidRPr="00BB70EB">
              <w:rPr>
                <w:rFonts w:ascii="Times New Roman" w:hAnsi="Times New Roman" w:cs="Times New Roman"/>
                <w:sz w:val="36"/>
                <w:szCs w:val="36"/>
              </w:rPr>
              <w:t>заседания Экспертного С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овета</w:t>
            </w:r>
          </w:p>
          <w:p w:rsidR="00F62700" w:rsidRPr="00BB70EB" w:rsidRDefault="00F627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3959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87FF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.00 – 1</w:t>
            </w:r>
            <w:r w:rsidR="00087FF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</w:p>
        </w:tc>
        <w:tc>
          <w:tcPr>
            <w:tcW w:w="7529" w:type="dxa"/>
          </w:tcPr>
          <w:p w:rsidR="00F62700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Открытие </w:t>
            </w:r>
            <w:r w:rsidRPr="00BB70EB">
              <w:rPr>
                <w:rFonts w:ascii="Times New Roman" w:hAnsi="Times New Roman" w:cs="Times New Roman"/>
                <w:bCs/>
                <w:sz w:val="36"/>
                <w:szCs w:val="36"/>
              </w:rPr>
              <w:t>расширенного</w:t>
            </w:r>
            <w:r w:rsidR="00F62700"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заседания Экспертного С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овета</w:t>
            </w:r>
          </w:p>
          <w:p w:rsidR="007C016C" w:rsidRPr="00BB70EB" w:rsidRDefault="007C016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24353C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.05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4353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7529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Доклад Уполномоченного по правам </w:t>
            </w:r>
            <w:r w:rsidR="00D21963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человека в Республике Татарстан </w:t>
            </w:r>
            <w:r w:rsidR="00D21963">
              <w:rPr>
                <w:rFonts w:ascii="Times New Roman" w:hAnsi="Times New Roman" w:cs="Times New Roman"/>
                <w:sz w:val="36"/>
                <w:szCs w:val="36"/>
              </w:rPr>
              <w:br/>
            </w:r>
            <w:proofErr w:type="spellStart"/>
            <w:r w:rsidR="00892A4C"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Сабурской</w:t>
            </w:r>
            <w:proofErr w:type="spellEnd"/>
            <w:r w:rsidR="007445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Сарии</w:t>
            </w:r>
            <w:proofErr w:type="spellEnd"/>
            <w:r w:rsidR="007445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Харисовны</w:t>
            </w:r>
            <w:proofErr w:type="spellEnd"/>
          </w:p>
          <w:p w:rsidR="00937B35" w:rsidRPr="00BB70EB" w:rsidRDefault="00F62700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i/>
                <w:sz w:val="36"/>
                <w:szCs w:val="36"/>
              </w:rPr>
              <w:t>«</w:t>
            </w:r>
            <w:r w:rsidR="00411BEA" w:rsidRPr="00BB70E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О проекте доклада </w:t>
            </w:r>
            <w:r w:rsidR="00E77374">
              <w:rPr>
                <w:rFonts w:ascii="Times New Roman" w:hAnsi="Times New Roman" w:cs="Times New Roman"/>
                <w:i/>
                <w:sz w:val="36"/>
                <w:szCs w:val="36"/>
              </w:rPr>
              <w:t>«О</w:t>
            </w:r>
            <w:r w:rsidR="00411BEA" w:rsidRPr="00BB70E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деятельности Уполн</w:t>
            </w:r>
            <w:r w:rsidR="00BB70EB">
              <w:rPr>
                <w:rFonts w:ascii="Times New Roman" w:hAnsi="Times New Roman" w:cs="Times New Roman"/>
                <w:i/>
                <w:sz w:val="36"/>
                <w:szCs w:val="36"/>
              </w:rPr>
              <w:t>омоченного по правам человека в </w:t>
            </w:r>
            <w:r w:rsidR="00087FFA">
              <w:rPr>
                <w:rFonts w:ascii="Times New Roman" w:hAnsi="Times New Roman" w:cs="Times New Roman"/>
                <w:i/>
                <w:sz w:val="36"/>
                <w:szCs w:val="36"/>
              </w:rPr>
              <w:t>Республике Татарстан в 2022</w:t>
            </w:r>
            <w:r w:rsidR="00411BEA" w:rsidRPr="00BB70EB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году»</w:t>
            </w:r>
          </w:p>
          <w:p w:rsidR="00F62700" w:rsidRPr="00BB70EB" w:rsidRDefault="00F627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4353C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29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Выступления участников расш</w:t>
            </w:r>
            <w:r w:rsidR="00794975" w:rsidRPr="00BB70EB">
              <w:rPr>
                <w:rFonts w:ascii="Times New Roman" w:hAnsi="Times New Roman" w:cs="Times New Roman"/>
                <w:sz w:val="36"/>
                <w:szCs w:val="36"/>
              </w:rPr>
              <w:t>иренного заседания Экспертного С</w:t>
            </w:r>
            <w:r w:rsidR="0024353C">
              <w:rPr>
                <w:rFonts w:ascii="Times New Roman" w:hAnsi="Times New Roman" w:cs="Times New Roman"/>
                <w:sz w:val="36"/>
                <w:szCs w:val="36"/>
              </w:rPr>
              <w:t>овета (до 8</w:t>
            </w:r>
            <w:bookmarkStart w:id="0" w:name="_GoBack"/>
            <w:bookmarkEnd w:id="0"/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 минут):</w:t>
            </w:r>
          </w:p>
          <w:p w:rsidR="00F62700" w:rsidRPr="00BB70EB" w:rsidRDefault="00F627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9596B" w:rsidRDefault="00F22199" w:rsidP="003959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Кузьмичева </w:t>
            </w:r>
            <w:r w:rsidRPr="00F22199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лена </w:t>
            </w:r>
            <w:r w:rsidRPr="00F22199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  <w:r w:rsidR="00D21963">
              <w:rPr>
                <w:rFonts w:ascii="Times New Roman" w:hAnsi="Times New Roman" w:cs="Times New Roman"/>
                <w:b/>
                <w:sz w:val="36"/>
                <w:szCs w:val="36"/>
              </w:rPr>
              <w:t>вановна</w:t>
            </w:r>
            <w:r w:rsidR="00D21963" w:rsidRPr="00D2196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21963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депутат Государственного Совета Республики Татарстан шестого созыва, председатель Федерации профсоюзов Республики Татарстан </w:t>
            </w:r>
          </w:p>
          <w:p w:rsidR="00BB70EB" w:rsidRPr="00BB70EB" w:rsidRDefault="00BB70EB" w:rsidP="003959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22199" w:rsidRDefault="00F22199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22199">
              <w:rPr>
                <w:rFonts w:ascii="Times New Roman" w:hAnsi="Times New Roman" w:cs="Times New Roman"/>
                <w:b/>
                <w:sz w:val="36"/>
                <w:szCs w:val="36"/>
              </w:rPr>
              <w:t>Хиалеев</w:t>
            </w:r>
            <w:proofErr w:type="spellEnd"/>
            <w:r w:rsidRPr="00F221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Эдуард Данилович</w:t>
            </w:r>
            <w:r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– начальник </w:t>
            </w:r>
            <w:proofErr w:type="gramStart"/>
            <w:r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Управления </w:t>
            </w:r>
            <w:r w:rsidR="00D21963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r w:rsidRPr="00F22199">
              <w:rPr>
                <w:rFonts w:ascii="Times New Roman" w:hAnsi="Times New Roman" w:cs="Times New Roman"/>
                <w:sz w:val="36"/>
                <w:szCs w:val="36"/>
              </w:rPr>
              <w:t>едеральной службы исполнения наказаний России</w:t>
            </w:r>
            <w:proofErr w:type="gramEnd"/>
            <w:r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по Республике Татарстан</w:t>
            </w:r>
          </w:p>
          <w:p w:rsidR="00F22199" w:rsidRPr="00BB70EB" w:rsidRDefault="00F22199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37B35" w:rsidRPr="00BB70EB" w:rsidRDefault="0039596B" w:rsidP="003959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Музипов</w:t>
            </w:r>
            <w:proofErr w:type="spellEnd"/>
            <w:r w:rsidR="007445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Рамис</w:t>
            </w:r>
            <w:proofErr w:type="spellEnd"/>
            <w:r w:rsidR="0074453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Гаптраисович</w:t>
            </w:r>
            <w:proofErr w:type="spellEnd"/>
            <w:r w:rsidR="0043257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37B35"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аместитель министра образования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и науки Республики Татарстан, р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уководитель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Д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епартамента надзора 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и 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контроля в сфере образования Министерства образования 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и науки 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Республики Татарстан</w:t>
            </w:r>
          </w:p>
          <w:p w:rsidR="00087FFA" w:rsidRPr="005B29F5" w:rsidRDefault="00087FFA" w:rsidP="00786641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4F6E81"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529" w:type="dxa"/>
          </w:tcPr>
          <w:p w:rsidR="00937B35" w:rsidRDefault="00087FFA">
            <w:pPr>
              <w:jc w:val="both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Фазлеева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Ринатовна</w:t>
            </w:r>
            <w:proofErr w:type="spellEnd"/>
            <w:r w:rsidR="00744533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–</w:t>
            </w:r>
            <w:r w:rsidRPr="00087FFA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 xml:space="preserve"> </w:t>
            </w:r>
            <w:r w:rsidR="00A70387" w:rsidRPr="00BB70E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з</w:t>
            </w:r>
            <w:r w:rsidR="00185DA4" w:rsidRPr="00BB70E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аместитель Премьер-министра Республики Татарстан </w:t>
            </w:r>
          </w:p>
          <w:p w:rsidR="00786641" w:rsidRPr="00D21963" w:rsidRDefault="00786641">
            <w:pPr>
              <w:jc w:val="both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7529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Подписание соглашений о сотрудничестве и взаимодействии</w:t>
            </w:r>
            <w:r w:rsidR="005B29F5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4C0480">
              <w:rPr>
                <w:rFonts w:ascii="Times New Roman" w:hAnsi="Times New Roman" w:cs="Times New Roman"/>
                <w:sz w:val="36"/>
                <w:szCs w:val="36"/>
              </w:rPr>
              <w:t>ГБ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У 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>Государственное юридическое бюро Республики Татарстан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D21963">
              <w:rPr>
                <w:rFonts w:ascii="Times New Roman" w:hAnsi="Times New Roman" w:cs="Times New Roman"/>
                <w:sz w:val="36"/>
                <w:szCs w:val="36"/>
              </w:rPr>
              <w:t xml:space="preserve"> и 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>Татарстанск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им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региональн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ым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отделени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ем</w:t>
            </w:r>
            <w:r w:rsidR="00F22199" w:rsidRPr="00F22199">
              <w:rPr>
                <w:rFonts w:ascii="Times New Roman" w:hAnsi="Times New Roman" w:cs="Times New Roman"/>
                <w:sz w:val="36"/>
                <w:szCs w:val="36"/>
              </w:rPr>
              <w:t xml:space="preserve"> Общероссийской общественной организации «Российский Красный Крест»</w:t>
            </w:r>
          </w:p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892A4C" w:rsidRPr="00BB70EB">
              <w:rPr>
                <w:rFonts w:ascii="Times New Roman" w:hAnsi="Times New Roman" w:cs="Times New Roman"/>
                <w:sz w:val="36"/>
                <w:szCs w:val="36"/>
              </w:rPr>
              <w:t>.50</w:t>
            </w:r>
          </w:p>
        </w:tc>
        <w:tc>
          <w:tcPr>
            <w:tcW w:w="7529" w:type="dxa"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Награждение</w:t>
            </w:r>
          </w:p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c>
          <w:tcPr>
            <w:tcW w:w="2268" w:type="dxa"/>
            <w:hideMark/>
          </w:tcPr>
          <w:p w:rsidR="00937B35" w:rsidRPr="00BB70EB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0 – 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529" w:type="dxa"/>
            <w:hideMark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Принятие решения расширенно</w:t>
            </w:r>
            <w:r w:rsidR="00794975" w:rsidRPr="00BB70EB">
              <w:rPr>
                <w:rFonts w:ascii="Times New Roman" w:hAnsi="Times New Roman" w:cs="Times New Roman"/>
                <w:sz w:val="36"/>
                <w:szCs w:val="36"/>
              </w:rPr>
              <w:t>го заседания Экспертного С</w:t>
            </w:r>
            <w:r w:rsidR="00F62700" w:rsidRPr="00BB70EB">
              <w:rPr>
                <w:rFonts w:ascii="Times New Roman" w:hAnsi="Times New Roman" w:cs="Times New Roman"/>
                <w:sz w:val="36"/>
                <w:szCs w:val="36"/>
              </w:rPr>
              <w:t>овета</w:t>
            </w:r>
          </w:p>
          <w:p w:rsidR="00F62700" w:rsidRPr="00BB70EB" w:rsidRDefault="00F6270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B35" w:rsidRPr="00BB70EB" w:rsidTr="00F22199">
        <w:trPr>
          <w:trHeight w:val="534"/>
        </w:trPr>
        <w:tc>
          <w:tcPr>
            <w:tcW w:w="2268" w:type="dxa"/>
            <w:hideMark/>
          </w:tcPr>
          <w:p w:rsidR="00937B35" w:rsidRPr="00BB70EB" w:rsidRDefault="00937B35" w:rsidP="00F2219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2219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.0</w:t>
            </w:r>
            <w:r w:rsidR="00AA71E7" w:rsidRPr="00BB70EB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529" w:type="dxa"/>
            <w:hideMark/>
          </w:tcPr>
          <w:p w:rsidR="00937B35" w:rsidRPr="00BB70EB" w:rsidRDefault="00937B35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Завершение работы </w:t>
            </w:r>
            <w:r w:rsidRPr="00BB70E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расширенного </w:t>
            </w:r>
            <w:r w:rsidR="00794975" w:rsidRPr="00BB70EB">
              <w:rPr>
                <w:rFonts w:ascii="Times New Roman" w:hAnsi="Times New Roman" w:cs="Times New Roman"/>
                <w:sz w:val="36"/>
                <w:szCs w:val="36"/>
              </w:rPr>
              <w:t>заседания Экспертного С</w:t>
            </w: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>овета</w:t>
            </w:r>
          </w:p>
          <w:p w:rsidR="00937B35" w:rsidRPr="00BB70EB" w:rsidRDefault="00937B35" w:rsidP="00892A4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B70EB">
              <w:rPr>
                <w:rFonts w:ascii="Times New Roman" w:hAnsi="Times New Roman" w:cs="Times New Roman"/>
                <w:sz w:val="36"/>
                <w:szCs w:val="36"/>
              </w:rPr>
              <w:t xml:space="preserve">Уполномоченный по правам человека в Республике Татарстан </w:t>
            </w:r>
            <w:r w:rsidR="00892A4C"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Сабурская </w:t>
            </w:r>
            <w:r w:rsidRPr="00BB70EB">
              <w:rPr>
                <w:rFonts w:ascii="Times New Roman" w:hAnsi="Times New Roman" w:cs="Times New Roman"/>
                <w:b/>
                <w:sz w:val="36"/>
                <w:szCs w:val="36"/>
              </w:rPr>
              <w:t>Сария Харисовна</w:t>
            </w:r>
          </w:p>
        </w:tc>
      </w:tr>
    </w:tbl>
    <w:p w:rsidR="000B2B3C" w:rsidRPr="00D21963" w:rsidRDefault="000B2B3C" w:rsidP="003135D7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0B2B3C" w:rsidRPr="00D21963" w:rsidSect="00937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7703"/>
    <w:multiLevelType w:val="hybridMultilevel"/>
    <w:tmpl w:val="483E057E"/>
    <w:lvl w:ilvl="0" w:tplc="AE300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231274"/>
    <w:multiLevelType w:val="hybridMultilevel"/>
    <w:tmpl w:val="527CD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5"/>
    <w:rsid w:val="00037392"/>
    <w:rsid w:val="000822AC"/>
    <w:rsid w:val="00087FFA"/>
    <w:rsid w:val="000950FC"/>
    <w:rsid w:val="000B2B3C"/>
    <w:rsid w:val="000B49C8"/>
    <w:rsid w:val="000D3F93"/>
    <w:rsid w:val="00101086"/>
    <w:rsid w:val="00185DA4"/>
    <w:rsid w:val="00186C4C"/>
    <w:rsid w:val="001A4447"/>
    <w:rsid w:val="00220E14"/>
    <w:rsid w:val="0024353C"/>
    <w:rsid w:val="002519BF"/>
    <w:rsid w:val="00271EA1"/>
    <w:rsid w:val="002950C2"/>
    <w:rsid w:val="002A6BA3"/>
    <w:rsid w:val="002B6345"/>
    <w:rsid w:val="002D5E3A"/>
    <w:rsid w:val="002E0FC4"/>
    <w:rsid w:val="003135D7"/>
    <w:rsid w:val="0039596B"/>
    <w:rsid w:val="00411BEA"/>
    <w:rsid w:val="0043257E"/>
    <w:rsid w:val="00442403"/>
    <w:rsid w:val="004433FA"/>
    <w:rsid w:val="00483691"/>
    <w:rsid w:val="004C0480"/>
    <w:rsid w:val="004E1068"/>
    <w:rsid w:val="004F1E20"/>
    <w:rsid w:val="004F5752"/>
    <w:rsid w:val="004F6E81"/>
    <w:rsid w:val="00542647"/>
    <w:rsid w:val="005705C3"/>
    <w:rsid w:val="00583CC9"/>
    <w:rsid w:val="005A3FEC"/>
    <w:rsid w:val="005B29F5"/>
    <w:rsid w:val="00616931"/>
    <w:rsid w:val="006A244E"/>
    <w:rsid w:val="006C73BE"/>
    <w:rsid w:val="006F64FA"/>
    <w:rsid w:val="0072554F"/>
    <w:rsid w:val="00744533"/>
    <w:rsid w:val="00754B8A"/>
    <w:rsid w:val="00763591"/>
    <w:rsid w:val="00786641"/>
    <w:rsid w:val="00794975"/>
    <w:rsid w:val="007B0D89"/>
    <w:rsid w:val="007B5D05"/>
    <w:rsid w:val="007C016C"/>
    <w:rsid w:val="007E17EB"/>
    <w:rsid w:val="00861826"/>
    <w:rsid w:val="00892A4C"/>
    <w:rsid w:val="008C463B"/>
    <w:rsid w:val="008D2D33"/>
    <w:rsid w:val="008F00B7"/>
    <w:rsid w:val="00904672"/>
    <w:rsid w:val="00937B35"/>
    <w:rsid w:val="0094263F"/>
    <w:rsid w:val="00955DF3"/>
    <w:rsid w:val="00966EFD"/>
    <w:rsid w:val="009A3836"/>
    <w:rsid w:val="009E1C89"/>
    <w:rsid w:val="009F1C44"/>
    <w:rsid w:val="00A6052C"/>
    <w:rsid w:val="00A70387"/>
    <w:rsid w:val="00AA71E7"/>
    <w:rsid w:val="00AB24E3"/>
    <w:rsid w:val="00AE436A"/>
    <w:rsid w:val="00B63023"/>
    <w:rsid w:val="00B71DB9"/>
    <w:rsid w:val="00BB70EB"/>
    <w:rsid w:val="00BC1333"/>
    <w:rsid w:val="00D21963"/>
    <w:rsid w:val="00D353EF"/>
    <w:rsid w:val="00D83ADC"/>
    <w:rsid w:val="00DA55BF"/>
    <w:rsid w:val="00DD7C34"/>
    <w:rsid w:val="00E23273"/>
    <w:rsid w:val="00E77374"/>
    <w:rsid w:val="00E92941"/>
    <w:rsid w:val="00EC79E9"/>
    <w:rsid w:val="00F1262C"/>
    <w:rsid w:val="00F22199"/>
    <w:rsid w:val="00F62700"/>
    <w:rsid w:val="00F6775B"/>
    <w:rsid w:val="00F9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B35"/>
  </w:style>
  <w:style w:type="paragraph" w:styleId="a4">
    <w:name w:val="No Spacing"/>
    <w:link w:val="a3"/>
    <w:uiPriority w:val="1"/>
    <w:qFormat/>
    <w:rsid w:val="00937B35"/>
    <w:pPr>
      <w:spacing w:after="0" w:line="240" w:lineRule="auto"/>
    </w:pPr>
  </w:style>
  <w:style w:type="table" w:styleId="a5">
    <w:name w:val="Table Grid"/>
    <w:basedOn w:val="a1"/>
    <w:uiPriority w:val="59"/>
    <w:rsid w:val="00937B35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1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7B35"/>
  </w:style>
  <w:style w:type="paragraph" w:styleId="a4">
    <w:name w:val="No Spacing"/>
    <w:link w:val="a3"/>
    <w:uiPriority w:val="1"/>
    <w:qFormat/>
    <w:rsid w:val="00937B35"/>
    <w:pPr>
      <w:spacing w:after="0" w:line="240" w:lineRule="auto"/>
    </w:pPr>
  </w:style>
  <w:style w:type="table" w:styleId="a5">
    <w:name w:val="Table Grid"/>
    <w:basedOn w:val="a1"/>
    <w:uiPriority w:val="59"/>
    <w:rsid w:val="00937B35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5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77881-6B10-422A-8BE5-9B134EB6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14</cp:revision>
  <cp:lastPrinted>2022-01-27T10:44:00Z</cp:lastPrinted>
  <dcterms:created xsi:type="dcterms:W3CDTF">2023-01-18T14:39:00Z</dcterms:created>
  <dcterms:modified xsi:type="dcterms:W3CDTF">2023-01-26T06:19:00Z</dcterms:modified>
</cp:coreProperties>
</file>