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A2" w:rsidRPr="007900A2" w:rsidRDefault="007900A2" w:rsidP="007900A2">
      <w:pPr>
        <w:spacing w:after="0" w:line="240" w:lineRule="auto"/>
        <w:ind w:left="8364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900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</w:t>
      </w:r>
    </w:p>
    <w:p w:rsidR="007900A2" w:rsidRPr="007900A2" w:rsidRDefault="007900A2" w:rsidP="007900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00A2" w:rsidRPr="007900A2" w:rsidRDefault="007900A2" w:rsidP="007900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00A2" w:rsidRPr="007900A2" w:rsidRDefault="007900A2" w:rsidP="007900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Информация </w:t>
      </w:r>
    </w:p>
    <w:p w:rsidR="007900A2" w:rsidRPr="007900A2" w:rsidRDefault="007900A2" w:rsidP="007900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здравоохранения Республики Татарстан </w:t>
      </w:r>
    </w:p>
    <w:p w:rsidR="007900A2" w:rsidRPr="007900A2" w:rsidRDefault="007900A2" w:rsidP="007900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приоритетных направлениях работы по формированию здорового образа жизни среди населения Республики Татарстан</w:t>
      </w:r>
    </w:p>
    <w:p w:rsidR="007900A2" w:rsidRPr="007900A2" w:rsidRDefault="007900A2" w:rsidP="007900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900A2" w:rsidRPr="007900A2" w:rsidRDefault="007900A2" w:rsidP="007900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утверждены национальные проекты «Демография» и «Здравоохранение», основными целями которых определены повышение к 2024 году ожидаемой продолжительности жизни при рождении до 78 лет, снижение смертности населения от основных неинфекционных заболеваний, увеличение доли граждан, ведущих здоровый образ жизни.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 xml:space="preserve">В рамках национального проекта «Демография» 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и утверждён  Премьер-министром Республики Татарстан А.В.Песошиным </w:t>
      </w:r>
      <w:r w:rsidRPr="007900A2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проект Республики Татарстан «Укрепление общественного здоровья»</w:t>
      </w:r>
      <w:r w:rsidRPr="007900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>Реализация проекта «УОЗ» должна позволить обеспечение к 2024 году: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 xml:space="preserve">- увеличения доли граждан, ведущих здоровый образ жизни, за счёт формирования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сахара); 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>- защиту от табачного дыма, снижение потребления алкоголя, а также самогоноварения;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 xml:space="preserve">- мотивирования граждан к ведению здорового образа жизни посредством внедрения программ общественного здоровья, информационно-коммуникационных кампаний, вовлечения граждан и некоммерческих организаций в мероприятия по укреплению общественного здоровья; 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>- разработки и внедрения корпоративных программ укрепления здоровья.</w:t>
      </w:r>
    </w:p>
    <w:p w:rsidR="007900A2" w:rsidRDefault="007900A2" w:rsidP="00790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основные показатели реализации Регионального проекта «Укрепление общественного здоровья»:</w:t>
      </w:r>
    </w:p>
    <w:p w:rsidR="007900A2" w:rsidRPr="007900A2" w:rsidRDefault="007900A2" w:rsidP="00790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702"/>
        <w:gridCol w:w="803"/>
        <w:gridCol w:w="803"/>
        <w:gridCol w:w="803"/>
        <w:gridCol w:w="803"/>
        <w:gridCol w:w="803"/>
        <w:gridCol w:w="804"/>
      </w:tblGrid>
      <w:tr w:rsidR="007900A2" w:rsidRPr="007900A2" w:rsidTr="007900A2">
        <w:trPr>
          <w:tblHeader/>
        </w:trPr>
        <w:tc>
          <w:tcPr>
            <w:tcW w:w="3657" w:type="dxa"/>
            <w:vAlign w:val="center"/>
          </w:tcPr>
          <w:p w:rsidR="007900A2" w:rsidRPr="007900A2" w:rsidRDefault="007900A2" w:rsidP="007900A2">
            <w:pPr>
              <w:tabs>
                <w:tab w:val="left" w:pos="234"/>
                <w:tab w:val="center" w:pos="923"/>
              </w:tabs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00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eastAsia="Calibri" w:hAnsi="Times New Roman" w:cs="Times New Roman"/>
                <w:lang w:eastAsia="ru-RU"/>
              </w:rPr>
              <w:t>показателя</w:t>
            </w:r>
          </w:p>
        </w:tc>
        <w:tc>
          <w:tcPr>
            <w:tcW w:w="1702" w:type="dxa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03" w:type="dxa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803" w:type="dxa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2020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803" w:type="dxa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803" w:type="dxa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803" w:type="dxa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804" w:type="dxa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2024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г.</w:t>
            </w:r>
          </w:p>
        </w:tc>
      </w:tr>
    </w:tbl>
    <w:tbl>
      <w:tblPr>
        <w:tblStyle w:val="21"/>
        <w:tblW w:w="10177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57"/>
        <w:gridCol w:w="1701"/>
        <w:gridCol w:w="803"/>
        <w:gridCol w:w="803"/>
        <w:gridCol w:w="803"/>
        <w:gridCol w:w="803"/>
        <w:gridCol w:w="803"/>
        <w:gridCol w:w="804"/>
      </w:tblGrid>
      <w:tr w:rsidR="007900A2" w:rsidRPr="007900A2" w:rsidTr="007900A2">
        <w:trPr>
          <w:trHeight w:val="714"/>
        </w:trPr>
        <w:tc>
          <w:tcPr>
            <w:tcW w:w="3657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r w:rsidRPr="007900A2">
              <w:rPr>
                <w:rFonts w:ascii="Times New Roman" w:hAnsi="Times New Roman"/>
                <w:lang w:eastAsia="ru-RU"/>
              </w:rPr>
              <w:t>Темпы прироста первичной заболеваемости ожирением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роцент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16,4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13,1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11,5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8,5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</w:tr>
      <w:tr w:rsidR="007900A2" w:rsidRPr="007900A2" w:rsidTr="007900A2">
        <w:trPr>
          <w:trHeight w:val="676"/>
        </w:trPr>
        <w:tc>
          <w:tcPr>
            <w:tcW w:w="3657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r w:rsidRPr="007900A2">
              <w:rPr>
                <w:rFonts w:ascii="Times New Roman" w:hAnsi="Times New Roman"/>
                <w:lang w:eastAsia="ru-RU"/>
              </w:rPr>
              <w:t>Розничные продажи алкогольной продукции на душу населения</w:t>
            </w:r>
            <w:r w:rsidRPr="007900A2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:rsidR="007900A2" w:rsidRPr="007900A2" w:rsidRDefault="007900A2" w:rsidP="007900A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</w:t>
            </w:r>
            <w:r w:rsidRPr="007900A2">
              <w:rPr>
                <w:rFonts w:ascii="Times New Roman" w:hAnsi="Times New Roman"/>
                <w:lang w:eastAsia="ru-RU"/>
              </w:rPr>
              <w:t>итр чистого (100%) спирта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r w:rsidRPr="007900A2">
              <w:rPr>
                <w:rFonts w:ascii="Times New Roman" w:hAnsi="Times New Roman"/>
                <w:lang w:eastAsia="ru-RU"/>
              </w:rPr>
              <w:t>7,3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7,1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6,9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7900A2" w:rsidRPr="007900A2" w:rsidRDefault="007900A2" w:rsidP="007900A2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r w:rsidRPr="007900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6,8</w:t>
            </w:r>
          </w:p>
        </w:tc>
      </w:tr>
    </w:tbl>
    <w:p w:rsid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Татарстан включён в число 20 пилотных проектов по внедрению новой модели центров общественного здоровья, региональных и муниципальных программ укрепления общественного здоровья, а также корпоративных программ по укреплению здоровья на рабочих местах, предусмотренных паспортом федерального проекта «Формирование системы мотивации граждан к здоровому образу жизни, включая здоровое питание и отказ от вредных привычек».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проекта разработана и утверждена региональная программа «Укрепление общественного здоровья» в составе Подпрограммы 1. «Профилактика заболеваний и формирование здорового образа жизни. Развитие первичной медико-санитарной помощи» государственной программы «Развитие здравоохранения Республики Татарстан до 2025 года» (постановление Кабинета Министров Республики Татарстан от 06.06.2019 № 472.).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В 23 муниципальных образованиях республики утверждены муниципальные программы укрепления общественного здоровья среди населения (51,1 % от общего количества муниципальных образований РТ; индикатор в рамках проекта на 15.12.2021  – 40,0 %).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Совместно с благотворительной региональной просветительской общественной организацией Республики Татарстан «Золотое сердце» внедрены корпоративные программы по укреплению здоровья работников на 2-х предприятиях республики и КГМУ Минздрава России. 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приказом Минздрава России от 29.10.2020 № 1177н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 в 2020 году в Республике Татарстан организована работа 4 центров общественного здоровья и медицинской профилактики (ЦОЗиМП) в городах Альметьевск, Зеленодольск, Казань, Нижнекамск, в том числе профилактические мероприятия совместно с Региональным Отделением ООО «Союз пенсионеров России» по Республике Татарстан и Республиканским Советом Региональной общественной организации ветеранов (пенсионеров) Республики Татарстан.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продолжена работа </w:t>
      </w:r>
      <w:r w:rsidRPr="007900A2">
        <w:rPr>
          <w:rFonts w:ascii="Times New Roman" w:eastAsia="Calibri" w:hAnsi="Times New Roman" w:cs="Times New Roman"/>
          <w:sz w:val="28"/>
          <w:szCs w:val="28"/>
        </w:rPr>
        <w:t>19 отделений медицинской профилактики, 67 кабинетов медицинской профилактики, 66 кабинетов здорового ребёнка, 799 «школ здоровья», 21 центра здоровья (15 – для взрослого населения, 6 – для детей).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предварительной информации учреждений здравоохранения РТ за 5 мес. 2021 года в центрах здоровья РТ обследовано 33 766 человек. Из общего числа обследованных признаны здоровыми 7 972 чел. (23,7%), у  25 7949 чел. (76,3%) выявлены функциональные расстройства (направлены в медицинские  учреждения РТ для дообследования).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центрах здоровья для детей обследовано 9 576 человек (73,1% - дети школьного возраста). Признаны здоровыми 3 046 чел. (31,8%), выявлены функциональные расстройства и направлены в медицинские  учреждения для дообследования 6 530 чел. (68,2%). 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Мобильным центром здоровья для детей проведено 26 выездов, осмотрено 427 человек.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зоне особого внимания - профилактика вредных привычек среди детей. 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центрах здоровья для детей в объём дополнительного  обследования входит тест на определение токсических веществ среди курящих. Ежегодно тестирование на уровень содержания окиси углерода в выдыхаемом воздухе (на табакокурение) проходят почти 30 тыс. подростков, факторы риска выявляются более чем у 3 процентов обследуемых). На основании результатов врачами центров предоставляются индивидуальные рекомендации по отказу от курения. 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Проводится активная работа с Министерством образования и науки республики</w:t>
      </w: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течение ряда лет в республике совместно организуется профилактическая акция «Здоровая школа» в рамках партийного проекта «Здоровое будущее» партии «Единая Россия». 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году в рамках проекта в регионах Российской Федерации, в том числе Республике Татарстан, проходят Всероссийская акция «Здоровый образ жизни – основа национальных целей развития» (далее – акция) и конкурс «Лидер» (https://doit-together.ru). По состоянию на 18.05.2021 для участия в акции на сайте движения «Сделаем вместе!» зарегистрировано 192 общеобразовательных организации республики (17 место среди регионов РФ) и 36 Лидеров (27 место). 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каникулярное время тематическая профилактическая работа среди детей и подростков продолжается в пришкольных и летних оздоровительных лагерях. В этих целях создаются межведомственные лекторские группы с участием психологов, наркологов и других специалистов медицинских организаций республики (ежегодно –  более 110 тематических лекториев, охват - около 100 тыс. человек). 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Наркологической службой осуществляются мероприятия первичной профилактики злоупотребления психоактивными веществами среди учащихся старших классов общеобразовательных школ, учреждений начального и среднего профессионального образования, студентов высших учебных заведений Республики Татарстан: традиционные беседы и лекции специалистов в учебных заведениях, семинары, «круглые столы», видеолектории, интеллектуальные игры «Брейн-ринг» или КВН.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наркологическое сопровождение психолого-образовательных программ, реализуемых другими ведомствами («Образование и здоровье», «Школа – территория здоровья», «Основы лидерства», «Самостоятельные дети», «Школьные отряды профилактики», «Путь к успеху»), а также проекта «Клубная жизнь без наркотиков».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Успешно реализуются превентивные программы для родителей: видеолектории, тематические собрания, издание и распространение раздаточного материала. В ГАУЗ «Республиканский наркологический диспансер Министерства здравоохранения Республики Татарстан» (далее – ГАУЗ «РНД МЗ РТ») и его филиалах, реабилитационных центрах организованы программы помощи созависимым. Основная цель - информирование родителей о возможностях влияния на отношение их детей к наркотикам с ранних лет, своевременного </w:t>
      </w: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распознавания и устранения факторов, провоцирующих детей к потреблению алкоголя или наркотиков, психологическая помощь.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В ГАУЗ «РНД МЗ РТ» действует анонимный телефон доверия, оказывающий доврачебную консультационную помощь наркологическим больным и их родственникам.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Федерального закона от 23.02.2013 № 15-ФЗ «Об охране здоровья граждан от воздействия окружающего табачного дыма и последствий потребления табака» в учреждениях здравоохранения республики реализуются мероприятия в соответствии с приказами Минздрава РТ от 03.09.2019  № 1760 «О мерах по снижению потребления табачной продукцией» и от 15.06.2021 № 1181 «Об организации медицинской помощи взрослому населению по избавлению от никотиновой зависимости».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В числе основных задач органов и учреждений здравоохранения - реализация профилактических мероприятий, направленных на предупреждение начала курения и мотивацию отказа от него, и организация медицинской помощи лицам в случае появившегося желания отказа от табакокурения.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ряда лет осуществляется работа кабинетов медицинской помощи по отказу от курения, включая квалифицированную консультацию и лечение (в г.Казани на базе ГАУЗ «РНД МЗ РТ» и его филиалах в гг. Альметьевске, Бугульме, Зеленодольске, Набережных Челнах, Нижнекамске). Приём ведут врачи психиатры-наркологи на бесплатной основе.  Ежегодно в кабинетах проходят лечение более 500 человек.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вопросам избавления от никотиновой зависимости для жителей Республики Татарстан организованы также в кабинетах медицинской профилактики в поликлиниках по месту жительства. Специалисты по профилактической медицине дают соответствующие рекомендации или направление к врачу-наркологу для получения специализированной помощи.</w:t>
      </w:r>
    </w:p>
    <w:p w:rsidR="007900A2" w:rsidRPr="007900A2" w:rsidRDefault="007900A2" w:rsidP="007900A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 xml:space="preserve">В Республике Татарстан реализуется Закон от 29.10.2009 № 50-ЗРТ «О </w:t>
      </w:r>
      <w:r w:rsidRPr="007900A2">
        <w:rPr>
          <w:rFonts w:ascii="Times New Roman" w:eastAsia="Calibri" w:hAnsi="Times New Roman" w:cs="Times New Roman"/>
          <w:b/>
          <w:sz w:val="28"/>
          <w:szCs w:val="28"/>
        </w:rPr>
        <w:t>профилактике наркомании и токсикомании</w:t>
      </w:r>
      <w:r w:rsidRPr="007900A2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900A2" w:rsidRPr="007900A2" w:rsidRDefault="007900A2" w:rsidP="007900A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>Решением Антинаркотической комиссии в Республике Татарстан от 15.05.2015 № 38 АНК утверждён Регламент проведения социально-психологического тестирования и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функционирующих на территории Республики Татарстан, на предмет употребления наркотических средств и психотропных веществ.</w:t>
      </w:r>
    </w:p>
    <w:p w:rsidR="007900A2" w:rsidRPr="007900A2" w:rsidRDefault="007900A2" w:rsidP="007900A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>Ежегодно издаются отраслевые приказы о проведении профилактических медицинских осмотров обучающихся, тестирования граждан, подлежащих призыву на военную службу, на предмет выявления лиц, допускающих немедицинское потребление наркотических средств и психотропных веществ.</w:t>
      </w:r>
    </w:p>
    <w:p w:rsidR="007900A2" w:rsidRPr="007900A2" w:rsidRDefault="007900A2" w:rsidP="007900A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профилактических наркологических осмотров осуществляется за счёт денежных средств Подпрограммы «Профилактика наркомании среди населения Республики Татарстан на 2014 – 2025 годы» Государственной программы «Обеспечение общественного порядка и </w:t>
      </w:r>
      <w:r w:rsidRPr="007900A2">
        <w:rPr>
          <w:rFonts w:ascii="Times New Roman" w:eastAsia="Calibri" w:hAnsi="Times New Roman" w:cs="Times New Roman"/>
          <w:sz w:val="28"/>
          <w:szCs w:val="28"/>
        </w:rPr>
        <w:lastRenderedPageBreak/>
        <w:t>противодействие преступности в Республике Татарстан на 2014 – 2025 годы» (10 млн. рублей ежегодно) и в рамках Программы государственных гарантий бесплатного оказания гражданам медицинской помощи на территории Республики Татарстан.</w:t>
      </w:r>
    </w:p>
    <w:p w:rsidR="007900A2" w:rsidRPr="007900A2" w:rsidRDefault="007900A2" w:rsidP="007900A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2">
        <w:rPr>
          <w:rFonts w:ascii="Times New Roman" w:eastAsia="Calibri" w:hAnsi="Times New Roman" w:cs="Times New Roman"/>
          <w:sz w:val="28"/>
          <w:szCs w:val="28"/>
        </w:rPr>
        <w:t xml:space="preserve">Приказы Министерства здравоохранения Республики Татарстан по организации соответствующей работы издаются на основании решений Оперативного штаба по проведению профилактических наркологических осмотров среди учащихся и студентов при Министерстве образования и науки Республики Татарстан. </w:t>
      </w:r>
    </w:p>
    <w:p w:rsidR="007900A2" w:rsidRPr="007900A2" w:rsidRDefault="007900A2" w:rsidP="007900A2">
      <w:pPr>
        <w:overflowPunct w:val="0"/>
        <w:autoSpaceDE w:val="0"/>
        <w:autoSpaceDN w:val="0"/>
        <w:spacing w:after="0" w:line="240" w:lineRule="auto"/>
        <w:ind w:firstLine="56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поддержке Кабинета Министров республики, с 2013 года продолжается стабильное финансирование Регионального ресурсного центра в рамках федерального проекта «Общее дело. За сокращение алкоголизации и табакокурения», созданного на базе ГАУЗ «РНД МЗ РТ».</w:t>
      </w:r>
    </w:p>
    <w:p w:rsidR="007900A2" w:rsidRPr="007900A2" w:rsidRDefault="007900A2" w:rsidP="007900A2">
      <w:pPr>
        <w:overflowPunct w:val="0"/>
        <w:autoSpaceDE w:val="0"/>
        <w:autoSpaceDN w:val="0"/>
        <w:spacing w:after="0" w:line="240" w:lineRule="auto"/>
        <w:ind w:firstLine="56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здравоохранения Республики Татарстан поддержало законодательные инициативы Совета Федерации и Государственной Думы Федерального Собрания Российской Федерации, направленные на реализацию государственной политики противодействия потреблению табака, в том числе в части:</w:t>
      </w:r>
    </w:p>
    <w:p w:rsidR="007900A2" w:rsidRPr="007900A2" w:rsidRDefault="007900A2" w:rsidP="007900A2">
      <w:pPr>
        <w:overflowPunct w:val="0"/>
        <w:autoSpaceDE w:val="0"/>
        <w:autoSpaceDN w:val="0"/>
        <w:spacing w:after="0" w:line="240" w:lineRule="auto"/>
        <w:ind w:firstLine="56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увеличения возраста, с которого допускается розничная продажа и потребление табачной продукции (до 21 года);</w:t>
      </w:r>
    </w:p>
    <w:p w:rsidR="007900A2" w:rsidRPr="007900A2" w:rsidRDefault="007900A2" w:rsidP="007900A2">
      <w:pPr>
        <w:overflowPunct w:val="0"/>
        <w:autoSpaceDE w:val="0"/>
        <w:autoSpaceDN w:val="0"/>
        <w:spacing w:after="0" w:line="240" w:lineRule="auto"/>
        <w:ind w:firstLine="56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запрета розничной торговли табачными изделиями с 23.00 часов до 8.00 часов по местному времени; </w:t>
      </w:r>
    </w:p>
    <w:p w:rsidR="007900A2" w:rsidRPr="007900A2" w:rsidRDefault="007900A2" w:rsidP="007900A2">
      <w:pPr>
        <w:overflowPunct w:val="0"/>
        <w:autoSpaceDE w:val="0"/>
        <w:autoSpaceDN w:val="0"/>
        <w:spacing w:after="0" w:line="240" w:lineRule="auto"/>
        <w:ind w:firstLine="56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установления запрета на курение на расстоянии менее 10 метров от входов в подъезды многоквартирных домов;</w:t>
      </w:r>
    </w:p>
    <w:p w:rsidR="007900A2" w:rsidRPr="007900A2" w:rsidRDefault="007900A2" w:rsidP="007900A2">
      <w:pPr>
        <w:overflowPunct w:val="0"/>
        <w:autoSpaceDE w:val="0"/>
        <w:autoSpaceDN w:val="0"/>
        <w:spacing w:after="0" w:line="240" w:lineRule="auto"/>
        <w:ind w:firstLine="56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охраны здоровья граждан от воздействия окружающего дыма электронных паро-испарителей и последствий использования смесей для электронных паро-испарителей;</w:t>
      </w:r>
    </w:p>
    <w:p w:rsidR="007900A2" w:rsidRPr="007900A2" w:rsidRDefault="007900A2" w:rsidP="007900A2">
      <w:pPr>
        <w:overflowPunct w:val="0"/>
        <w:autoSpaceDE w:val="0"/>
        <w:autoSpaceDN w:val="0"/>
        <w:spacing w:after="0" w:line="240" w:lineRule="auto"/>
        <w:ind w:firstLine="56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ограничения оборота электронных систем доставки никотина (ЭСДН);</w:t>
      </w:r>
    </w:p>
    <w:p w:rsidR="007900A2" w:rsidRPr="007900A2" w:rsidRDefault="007900A2" w:rsidP="007900A2">
      <w:pPr>
        <w:overflowPunct w:val="0"/>
        <w:autoSpaceDE w:val="0"/>
        <w:autoSpaceDN w:val="0"/>
        <w:spacing w:after="0" w:line="240" w:lineRule="auto"/>
        <w:ind w:firstLine="56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ограничения имитации табакокурения;</w:t>
      </w:r>
    </w:p>
    <w:p w:rsidR="007900A2" w:rsidRPr="007900A2" w:rsidRDefault="007900A2" w:rsidP="007900A2">
      <w:pPr>
        <w:overflowPunct w:val="0"/>
        <w:autoSpaceDE w:val="0"/>
        <w:autoSpaceDN w:val="0"/>
        <w:spacing w:after="0" w:line="240" w:lineRule="auto"/>
        <w:ind w:firstLine="56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запрета курения на остановках общественного транспорта и в подземных и надземных переходах;</w:t>
      </w:r>
    </w:p>
    <w:p w:rsidR="007900A2" w:rsidRPr="007900A2" w:rsidRDefault="007900A2" w:rsidP="007900A2">
      <w:pPr>
        <w:overflowPunct w:val="0"/>
        <w:autoSpaceDE w:val="0"/>
        <w:autoSpaceDN w:val="0"/>
        <w:spacing w:after="0" w:line="240" w:lineRule="auto"/>
        <w:ind w:firstLine="56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установления административной ответственности за курение табака, использование никотинсодержащей продукции и устройств, предназначенных для потребления никотина способами, отличными от курения табака несовершеннолетними.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Достигнута договорённость между Министерством спорта Республики Татарстан и Министерством здравоохранения Республики Татарстан</w:t>
      </w:r>
      <w:r w:rsidRPr="007900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совместном использовании в установленном порядке объектов спорта</w:t>
      </w: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оздоровительных мероприятий, вовлечения населения республики в систематические занятия физической культурой и спортом и пропаганды здорового образа жизни, в том числе безвозмездное предоставление тематической аудио и видеопродукции (далее – информационные материалы), подготовленной ГАУЗ «Республиканский центр общественного здоровья медицинской профилактики», в том числе размещение её на официальных сайтах в сети </w:t>
      </w: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Интернет, демонстрации на вещательных каналах (плазменные панели, радиоточки), а также для использования в качестве наглядного материала.</w:t>
      </w:r>
    </w:p>
    <w:p w:rsidR="007900A2" w:rsidRPr="007900A2" w:rsidRDefault="007900A2" w:rsidP="007900A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Координация деятельности всех заинтересованных сторон</w:t>
      </w:r>
      <w:r w:rsidRPr="00790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профилактике злоупотребления алкогольной продукцией, пивом, табаком и формированию здорового образа жизни осуществляется специально созданной рабочей группой при Правительственной комиссии Республики Татарстан по профилактике правонарушений (Указ Президента Республики Татарстан от 31.12.2010 № УП-897, председатель рабочей группы - министр здравоохранения Республики Татарстан М.Н.Садыков). </w:t>
      </w:r>
    </w:p>
    <w:sectPr w:rsidR="007900A2" w:rsidRPr="007900A2" w:rsidSect="007900A2">
      <w:headerReference w:type="default" r:id="rId9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A2" w:rsidRDefault="007900A2" w:rsidP="007900A2">
      <w:pPr>
        <w:spacing w:after="0" w:line="240" w:lineRule="auto"/>
      </w:pPr>
      <w:r>
        <w:separator/>
      </w:r>
    </w:p>
  </w:endnote>
  <w:endnote w:type="continuationSeparator" w:id="0">
    <w:p w:rsidR="007900A2" w:rsidRDefault="007900A2" w:rsidP="0079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A2" w:rsidRDefault="007900A2" w:rsidP="007900A2">
      <w:pPr>
        <w:spacing w:after="0" w:line="240" w:lineRule="auto"/>
      </w:pPr>
      <w:r>
        <w:separator/>
      </w:r>
    </w:p>
  </w:footnote>
  <w:footnote w:type="continuationSeparator" w:id="0">
    <w:p w:rsidR="007900A2" w:rsidRDefault="007900A2" w:rsidP="0079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797752"/>
      <w:docPartObj>
        <w:docPartGallery w:val="Page Numbers (Top of Page)"/>
        <w:docPartUnique/>
      </w:docPartObj>
    </w:sdtPr>
    <w:sdtEndPr/>
    <w:sdtContent>
      <w:p w:rsidR="007900A2" w:rsidRDefault="007900A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70">
          <w:rPr>
            <w:noProof/>
          </w:rPr>
          <w:t>2</w:t>
        </w:r>
        <w:r>
          <w:fldChar w:fldCharType="end"/>
        </w:r>
      </w:p>
    </w:sdtContent>
  </w:sdt>
  <w:p w:rsidR="007900A2" w:rsidRDefault="007900A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5A8DFE"/>
    <w:lvl w:ilvl="0">
      <w:start w:val="1"/>
      <w:numFmt w:val="bullet"/>
      <w:pStyle w:val="a"/>
      <w:lvlText w:val=""/>
      <w:lvlJc w:val="left"/>
      <w:pPr>
        <w:tabs>
          <w:tab w:val="num" w:pos="3335"/>
        </w:tabs>
        <w:ind w:left="2258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8FECE60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MS Mincho" w:hAnsi="Times New Roman" w:cs="Times New Roman"/>
        <w:b w:val="0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singleLevel"/>
    <w:tmpl w:val="03481F2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mbria" w:hAnsi="Times New Roman" w:cs="Times New Roman"/>
      </w:rPr>
    </w:lvl>
  </w:abstractNum>
  <w:abstractNum w:abstractNumId="4">
    <w:nsid w:val="00000006"/>
    <w:multiLevelType w:val="singleLevel"/>
    <w:tmpl w:val="12BE45D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NewRomanPSMT"/>
        <w:sz w:val="28"/>
      </w:rPr>
    </w:lvl>
  </w:abstractNum>
  <w:abstractNum w:abstractNumId="5">
    <w:nsid w:val="088F7947"/>
    <w:multiLevelType w:val="hybridMultilevel"/>
    <w:tmpl w:val="B2003AC8"/>
    <w:lvl w:ilvl="0" w:tplc="769E2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00D9"/>
    <w:multiLevelType w:val="hybridMultilevel"/>
    <w:tmpl w:val="6F8A7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3C7C70"/>
    <w:multiLevelType w:val="hybridMultilevel"/>
    <w:tmpl w:val="F0DCE536"/>
    <w:lvl w:ilvl="0" w:tplc="769E2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37C3"/>
    <w:multiLevelType w:val="hybridMultilevel"/>
    <w:tmpl w:val="0416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5A95"/>
    <w:multiLevelType w:val="hybridMultilevel"/>
    <w:tmpl w:val="E68C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07019"/>
    <w:multiLevelType w:val="hybridMultilevel"/>
    <w:tmpl w:val="560A38C2"/>
    <w:lvl w:ilvl="0" w:tplc="ECCCE4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D16ACD"/>
    <w:multiLevelType w:val="hybridMultilevel"/>
    <w:tmpl w:val="F6688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9F5A74"/>
    <w:multiLevelType w:val="hybridMultilevel"/>
    <w:tmpl w:val="B768AE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666059"/>
    <w:multiLevelType w:val="hybridMultilevel"/>
    <w:tmpl w:val="F56A7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FD61C6"/>
    <w:multiLevelType w:val="hybridMultilevel"/>
    <w:tmpl w:val="6E3A1D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9316ABE"/>
    <w:multiLevelType w:val="hybridMultilevel"/>
    <w:tmpl w:val="8FCCFCE2"/>
    <w:lvl w:ilvl="0" w:tplc="83D029D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38752C"/>
    <w:multiLevelType w:val="hybridMultilevel"/>
    <w:tmpl w:val="D0F02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4D0412"/>
    <w:multiLevelType w:val="hybridMultilevel"/>
    <w:tmpl w:val="AC223EE8"/>
    <w:lvl w:ilvl="0" w:tplc="AA2869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A9143A9"/>
    <w:multiLevelType w:val="hybridMultilevel"/>
    <w:tmpl w:val="EE8E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C3017"/>
    <w:multiLevelType w:val="multilevel"/>
    <w:tmpl w:val="B8482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C1E45D3"/>
    <w:multiLevelType w:val="hybridMultilevel"/>
    <w:tmpl w:val="031A4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C12A24"/>
    <w:multiLevelType w:val="hybridMultilevel"/>
    <w:tmpl w:val="AC223EE8"/>
    <w:lvl w:ilvl="0" w:tplc="AA2869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30F1150"/>
    <w:multiLevelType w:val="hybridMultilevel"/>
    <w:tmpl w:val="A7B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410B2"/>
    <w:multiLevelType w:val="hybridMultilevel"/>
    <w:tmpl w:val="6AD60CBC"/>
    <w:lvl w:ilvl="0" w:tplc="9DB6E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FD66D4"/>
    <w:multiLevelType w:val="multilevel"/>
    <w:tmpl w:val="B8482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B33DE0"/>
    <w:multiLevelType w:val="hybridMultilevel"/>
    <w:tmpl w:val="F24AC9B6"/>
    <w:lvl w:ilvl="0" w:tplc="769E2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333B3"/>
    <w:multiLevelType w:val="hybridMultilevel"/>
    <w:tmpl w:val="45228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AC82468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8">
    <w:nsid w:val="4B19418F"/>
    <w:multiLevelType w:val="hybridMultilevel"/>
    <w:tmpl w:val="0206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E6635"/>
    <w:multiLevelType w:val="hybridMultilevel"/>
    <w:tmpl w:val="2C145256"/>
    <w:lvl w:ilvl="0" w:tplc="07E2AC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0D732F"/>
    <w:multiLevelType w:val="hybridMultilevel"/>
    <w:tmpl w:val="6340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51410"/>
    <w:multiLevelType w:val="hybridMultilevel"/>
    <w:tmpl w:val="06A0AB14"/>
    <w:lvl w:ilvl="0" w:tplc="811CAE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9056956"/>
    <w:multiLevelType w:val="hybridMultilevel"/>
    <w:tmpl w:val="AC223EE8"/>
    <w:lvl w:ilvl="0" w:tplc="AA2869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5C1FD1"/>
    <w:multiLevelType w:val="hybridMultilevel"/>
    <w:tmpl w:val="935C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A6746A"/>
    <w:multiLevelType w:val="hybridMultilevel"/>
    <w:tmpl w:val="A020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10FAB"/>
    <w:multiLevelType w:val="hybridMultilevel"/>
    <w:tmpl w:val="A3A2E6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0321E1A"/>
    <w:multiLevelType w:val="hybridMultilevel"/>
    <w:tmpl w:val="8D18758A"/>
    <w:lvl w:ilvl="0" w:tplc="8F1CCA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62BC0249"/>
    <w:multiLevelType w:val="hybridMultilevel"/>
    <w:tmpl w:val="A68A9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434B8B"/>
    <w:multiLevelType w:val="hybridMultilevel"/>
    <w:tmpl w:val="B35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C188B"/>
    <w:multiLevelType w:val="hybridMultilevel"/>
    <w:tmpl w:val="19BE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145C2"/>
    <w:multiLevelType w:val="hybridMultilevel"/>
    <w:tmpl w:val="EB30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D232D"/>
    <w:multiLevelType w:val="hybridMultilevel"/>
    <w:tmpl w:val="5C1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31C13"/>
    <w:multiLevelType w:val="hybridMultilevel"/>
    <w:tmpl w:val="962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F4921"/>
    <w:multiLevelType w:val="hybridMultilevel"/>
    <w:tmpl w:val="F1307324"/>
    <w:lvl w:ilvl="0" w:tplc="C478A102">
      <w:start w:val="1"/>
      <w:numFmt w:val="decimal"/>
      <w:lvlText w:val="%1)"/>
      <w:lvlJc w:val="left"/>
      <w:pPr>
        <w:ind w:left="25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6" w:hanging="360"/>
      </w:pPr>
    </w:lvl>
    <w:lvl w:ilvl="2" w:tplc="0419001B" w:tentative="1">
      <w:start w:val="1"/>
      <w:numFmt w:val="lowerRoman"/>
      <w:lvlText w:val="%3."/>
      <w:lvlJc w:val="right"/>
      <w:pPr>
        <w:ind w:left="3946" w:hanging="180"/>
      </w:pPr>
    </w:lvl>
    <w:lvl w:ilvl="3" w:tplc="0419000F" w:tentative="1">
      <w:start w:val="1"/>
      <w:numFmt w:val="decimal"/>
      <w:lvlText w:val="%4."/>
      <w:lvlJc w:val="left"/>
      <w:pPr>
        <w:ind w:left="4666" w:hanging="360"/>
      </w:pPr>
    </w:lvl>
    <w:lvl w:ilvl="4" w:tplc="04190019" w:tentative="1">
      <w:start w:val="1"/>
      <w:numFmt w:val="lowerLetter"/>
      <w:lvlText w:val="%5."/>
      <w:lvlJc w:val="left"/>
      <w:pPr>
        <w:ind w:left="5386" w:hanging="360"/>
      </w:pPr>
    </w:lvl>
    <w:lvl w:ilvl="5" w:tplc="0419001B" w:tentative="1">
      <w:start w:val="1"/>
      <w:numFmt w:val="lowerRoman"/>
      <w:lvlText w:val="%6."/>
      <w:lvlJc w:val="right"/>
      <w:pPr>
        <w:ind w:left="6106" w:hanging="180"/>
      </w:pPr>
    </w:lvl>
    <w:lvl w:ilvl="6" w:tplc="0419000F" w:tentative="1">
      <w:start w:val="1"/>
      <w:numFmt w:val="decimal"/>
      <w:lvlText w:val="%7."/>
      <w:lvlJc w:val="left"/>
      <w:pPr>
        <w:ind w:left="6826" w:hanging="360"/>
      </w:pPr>
    </w:lvl>
    <w:lvl w:ilvl="7" w:tplc="04190019" w:tentative="1">
      <w:start w:val="1"/>
      <w:numFmt w:val="lowerLetter"/>
      <w:lvlText w:val="%8."/>
      <w:lvlJc w:val="left"/>
      <w:pPr>
        <w:ind w:left="7546" w:hanging="360"/>
      </w:pPr>
    </w:lvl>
    <w:lvl w:ilvl="8" w:tplc="041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45">
    <w:nsid w:val="76AA383D"/>
    <w:multiLevelType w:val="hybridMultilevel"/>
    <w:tmpl w:val="5A026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EE2474"/>
    <w:multiLevelType w:val="hybridMultilevel"/>
    <w:tmpl w:val="6E2AAF92"/>
    <w:lvl w:ilvl="0" w:tplc="66D8D6D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7">
    <w:nsid w:val="7E3D4B12"/>
    <w:multiLevelType w:val="hybridMultilevel"/>
    <w:tmpl w:val="6DD0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4"/>
  </w:num>
  <w:num w:numId="4">
    <w:abstractNumId w:val="42"/>
  </w:num>
  <w:num w:numId="5">
    <w:abstractNumId w:val="16"/>
  </w:num>
  <w:num w:numId="6">
    <w:abstractNumId w:val="0"/>
  </w:num>
  <w:num w:numId="7">
    <w:abstractNumId w:val="3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1"/>
  </w:num>
  <w:num w:numId="11">
    <w:abstractNumId w:val="43"/>
  </w:num>
  <w:num w:numId="12">
    <w:abstractNumId w:val="39"/>
  </w:num>
  <w:num w:numId="13">
    <w:abstractNumId w:val="3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4"/>
  </w:num>
  <w:num w:numId="19">
    <w:abstractNumId w:val="19"/>
  </w:num>
  <w:num w:numId="20">
    <w:abstractNumId w:val="40"/>
  </w:num>
  <w:num w:numId="21">
    <w:abstractNumId w:val="23"/>
  </w:num>
  <w:num w:numId="22">
    <w:abstractNumId w:val="29"/>
  </w:num>
  <w:num w:numId="23">
    <w:abstractNumId w:val="17"/>
  </w:num>
  <w:num w:numId="24">
    <w:abstractNumId w:val="32"/>
  </w:num>
  <w:num w:numId="25">
    <w:abstractNumId w:val="21"/>
  </w:num>
  <w:num w:numId="26">
    <w:abstractNumId w:val="10"/>
  </w:num>
  <w:num w:numId="27">
    <w:abstractNumId w:val="46"/>
  </w:num>
  <w:num w:numId="28">
    <w:abstractNumId w:val="44"/>
  </w:num>
  <w:num w:numId="29">
    <w:abstractNumId w:val="22"/>
  </w:num>
  <w:num w:numId="30">
    <w:abstractNumId w:val="38"/>
  </w:num>
  <w:num w:numId="31">
    <w:abstractNumId w:val="4"/>
  </w:num>
  <w:num w:numId="32">
    <w:abstractNumId w:val="3"/>
  </w:num>
  <w:num w:numId="33">
    <w:abstractNumId w:val="1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7"/>
  </w:num>
  <w:num w:numId="36">
    <w:abstractNumId w:val="7"/>
  </w:num>
  <w:num w:numId="37">
    <w:abstractNumId w:val="25"/>
  </w:num>
  <w:num w:numId="38">
    <w:abstractNumId w:val="5"/>
  </w:num>
  <w:num w:numId="39">
    <w:abstractNumId w:val="13"/>
  </w:num>
  <w:num w:numId="40">
    <w:abstractNumId w:val="31"/>
  </w:num>
  <w:num w:numId="41">
    <w:abstractNumId w:val="26"/>
  </w:num>
  <w:num w:numId="42">
    <w:abstractNumId w:val="20"/>
  </w:num>
  <w:num w:numId="43">
    <w:abstractNumId w:val="12"/>
  </w:num>
  <w:num w:numId="44">
    <w:abstractNumId w:val="14"/>
  </w:num>
  <w:num w:numId="45">
    <w:abstractNumId w:val="36"/>
  </w:num>
  <w:num w:numId="46">
    <w:abstractNumId w:val="11"/>
  </w:num>
  <w:num w:numId="47">
    <w:abstractNumId w:val="47"/>
  </w:num>
  <w:num w:numId="48">
    <w:abstractNumId w:val="33"/>
  </w:num>
  <w:num w:numId="49">
    <w:abstractNumId w:val="18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B3"/>
    <w:rsid w:val="00004F5D"/>
    <w:rsid w:val="000174BA"/>
    <w:rsid w:val="00047240"/>
    <w:rsid w:val="00053CAA"/>
    <w:rsid w:val="000838F1"/>
    <w:rsid w:val="000B2ABD"/>
    <w:rsid w:val="000C48F0"/>
    <w:rsid w:val="000F47CE"/>
    <w:rsid w:val="000F660B"/>
    <w:rsid w:val="001005A4"/>
    <w:rsid w:val="00103191"/>
    <w:rsid w:val="0010579C"/>
    <w:rsid w:val="00190491"/>
    <w:rsid w:val="0019411A"/>
    <w:rsid w:val="00195372"/>
    <w:rsid w:val="001B3730"/>
    <w:rsid w:val="001B6E6B"/>
    <w:rsid w:val="001F7952"/>
    <w:rsid w:val="002018CC"/>
    <w:rsid w:val="00220FAC"/>
    <w:rsid w:val="00254576"/>
    <w:rsid w:val="0027078E"/>
    <w:rsid w:val="00285103"/>
    <w:rsid w:val="00292A6E"/>
    <w:rsid w:val="002B2008"/>
    <w:rsid w:val="002B2FD9"/>
    <w:rsid w:val="002B31D6"/>
    <w:rsid w:val="002C124C"/>
    <w:rsid w:val="002D5112"/>
    <w:rsid w:val="003035EE"/>
    <w:rsid w:val="00314C1B"/>
    <w:rsid w:val="00327799"/>
    <w:rsid w:val="0034180B"/>
    <w:rsid w:val="00347F38"/>
    <w:rsid w:val="003628A2"/>
    <w:rsid w:val="00363558"/>
    <w:rsid w:val="00365D2A"/>
    <w:rsid w:val="00377180"/>
    <w:rsid w:val="003774EE"/>
    <w:rsid w:val="0039147E"/>
    <w:rsid w:val="003A21F4"/>
    <w:rsid w:val="003C4218"/>
    <w:rsid w:val="003E5E70"/>
    <w:rsid w:val="00402E02"/>
    <w:rsid w:val="004037FC"/>
    <w:rsid w:val="00414F86"/>
    <w:rsid w:val="00424D47"/>
    <w:rsid w:val="00435D3B"/>
    <w:rsid w:val="0044292B"/>
    <w:rsid w:val="00445ACA"/>
    <w:rsid w:val="00452643"/>
    <w:rsid w:val="00460876"/>
    <w:rsid w:val="004944E8"/>
    <w:rsid w:val="004B4490"/>
    <w:rsid w:val="004B6B1C"/>
    <w:rsid w:val="004D178A"/>
    <w:rsid w:val="00520C52"/>
    <w:rsid w:val="00535532"/>
    <w:rsid w:val="005372CB"/>
    <w:rsid w:val="005460FF"/>
    <w:rsid w:val="005632BF"/>
    <w:rsid w:val="0057038C"/>
    <w:rsid w:val="0058718F"/>
    <w:rsid w:val="00595BF8"/>
    <w:rsid w:val="005A5505"/>
    <w:rsid w:val="005C0AB2"/>
    <w:rsid w:val="005D7B2D"/>
    <w:rsid w:val="005E11ED"/>
    <w:rsid w:val="005F065E"/>
    <w:rsid w:val="005F51BF"/>
    <w:rsid w:val="00623B86"/>
    <w:rsid w:val="00626D39"/>
    <w:rsid w:val="006530FC"/>
    <w:rsid w:val="00660104"/>
    <w:rsid w:val="00667F51"/>
    <w:rsid w:val="006B680B"/>
    <w:rsid w:val="006C274A"/>
    <w:rsid w:val="006D08D7"/>
    <w:rsid w:val="006E11F5"/>
    <w:rsid w:val="006E49E2"/>
    <w:rsid w:val="006F4082"/>
    <w:rsid w:val="00724FCA"/>
    <w:rsid w:val="00743F41"/>
    <w:rsid w:val="0074476F"/>
    <w:rsid w:val="00751374"/>
    <w:rsid w:val="00767FE8"/>
    <w:rsid w:val="007811C7"/>
    <w:rsid w:val="00783818"/>
    <w:rsid w:val="007900A2"/>
    <w:rsid w:val="007B1D86"/>
    <w:rsid w:val="007D4C2B"/>
    <w:rsid w:val="00813AF0"/>
    <w:rsid w:val="00834AC8"/>
    <w:rsid w:val="00844784"/>
    <w:rsid w:val="00855B97"/>
    <w:rsid w:val="008A7174"/>
    <w:rsid w:val="008B1603"/>
    <w:rsid w:val="008B4798"/>
    <w:rsid w:val="008C2DA8"/>
    <w:rsid w:val="008C5879"/>
    <w:rsid w:val="008D03A7"/>
    <w:rsid w:val="008D409C"/>
    <w:rsid w:val="008E23DD"/>
    <w:rsid w:val="00912CCA"/>
    <w:rsid w:val="009203F6"/>
    <w:rsid w:val="00950FFF"/>
    <w:rsid w:val="00952EFF"/>
    <w:rsid w:val="00955130"/>
    <w:rsid w:val="00975B96"/>
    <w:rsid w:val="009B252D"/>
    <w:rsid w:val="009B564C"/>
    <w:rsid w:val="009C0A8F"/>
    <w:rsid w:val="009D2185"/>
    <w:rsid w:val="009E11B4"/>
    <w:rsid w:val="009F0F37"/>
    <w:rsid w:val="00A168A4"/>
    <w:rsid w:val="00A26CC9"/>
    <w:rsid w:val="00A35BEA"/>
    <w:rsid w:val="00A658AA"/>
    <w:rsid w:val="00A72800"/>
    <w:rsid w:val="00A851DA"/>
    <w:rsid w:val="00A91862"/>
    <w:rsid w:val="00A93701"/>
    <w:rsid w:val="00A94B70"/>
    <w:rsid w:val="00AB58A8"/>
    <w:rsid w:val="00AC68C0"/>
    <w:rsid w:val="00B00AFA"/>
    <w:rsid w:val="00B07E40"/>
    <w:rsid w:val="00B2229E"/>
    <w:rsid w:val="00B4163A"/>
    <w:rsid w:val="00B46332"/>
    <w:rsid w:val="00B51FB7"/>
    <w:rsid w:val="00B522A0"/>
    <w:rsid w:val="00B64E1A"/>
    <w:rsid w:val="00B94CC1"/>
    <w:rsid w:val="00B97C4D"/>
    <w:rsid w:val="00BD57A0"/>
    <w:rsid w:val="00BE112F"/>
    <w:rsid w:val="00C32299"/>
    <w:rsid w:val="00C91893"/>
    <w:rsid w:val="00C9686E"/>
    <w:rsid w:val="00CA37C9"/>
    <w:rsid w:val="00CB06A3"/>
    <w:rsid w:val="00CD1904"/>
    <w:rsid w:val="00CD4478"/>
    <w:rsid w:val="00CD740B"/>
    <w:rsid w:val="00CE026F"/>
    <w:rsid w:val="00CE6EFE"/>
    <w:rsid w:val="00CE7451"/>
    <w:rsid w:val="00D03AEB"/>
    <w:rsid w:val="00D05D87"/>
    <w:rsid w:val="00D10FE9"/>
    <w:rsid w:val="00D15817"/>
    <w:rsid w:val="00D25E0E"/>
    <w:rsid w:val="00D355D7"/>
    <w:rsid w:val="00D36103"/>
    <w:rsid w:val="00D4796E"/>
    <w:rsid w:val="00D50356"/>
    <w:rsid w:val="00D52E7B"/>
    <w:rsid w:val="00D60154"/>
    <w:rsid w:val="00D72B6C"/>
    <w:rsid w:val="00D76621"/>
    <w:rsid w:val="00DA1401"/>
    <w:rsid w:val="00DD608E"/>
    <w:rsid w:val="00DE12C9"/>
    <w:rsid w:val="00E0251F"/>
    <w:rsid w:val="00E14469"/>
    <w:rsid w:val="00E30E65"/>
    <w:rsid w:val="00E336AD"/>
    <w:rsid w:val="00E44700"/>
    <w:rsid w:val="00E44886"/>
    <w:rsid w:val="00E6678F"/>
    <w:rsid w:val="00EC3964"/>
    <w:rsid w:val="00EC77AA"/>
    <w:rsid w:val="00F21A63"/>
    <w:rsid w:val="00F31574"/>
    <w:rsid w:val="00F3558A"/>
    <w:rsid w:val="00F5379B"/>
    <w:rsid w:val="00F61AF0"/>
    <w:rsid w:val="00F768AE"/>
    <w:rsid w:val="00F818B3"/>
    <w:rsid w:val="00F845DB"/>
    <w:rsid w:val="00F86C21"/>
    <w:rsid w:val="00FA5BD3"/>
    <w:rsid w:val="00FC7123"/>
    <w:rsid w:val="00FD1975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1581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link w:val="20"/>
    <w:uiPriority w:val="9"/>
    <w:qFormat/>
    <w:rsid w:val="00D60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58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0"/>
    <w:uiPriority w:val="34"/>
    <w:qFormat/>
    <w:rsid w:val="007D4C2B"/>
    <w:pPr>
      <w:ind w:left="720"/>
      <w:contextualSpacing/>
    </w:pPr>
  </w:style>
  <w:style w:type="paragraph" w:styleId="a5">
    <w:name w:val="No Spacing"/>
    <w:uiPriority w:val="1"/>
    <w:qFormat/>
    <w:rsid w:val="00F31574"/>
    <w:pPr>
      <w:spacing w:after="0" w:line="240" w:lineRule="auto"/>
    </w:pPr>
  </w:style>
  <w:style w:type="table" w:styleId="a6">
    <w:name w:val="Table Grid"/>
    <w:basedOn w:val="a2"/>
    <w:uiPriority w:val="59"/>
    <w:rsid w:val="00AC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3A21F4"/>
    <w:rPr>
      <w:color w:val="0563C1" w:themeColor="hyperlink"/>
      <w:u w:val="single"/>
    </w:rPr>
  </w:style>
  <w:style w:type="paragraph" w:styleId="a">
    <w:name w:val="List Bullet"/>
    <w:basedOn w:val="a0"/>
    <w:qFormat/>
    <w:rsid w:val="00363558"/>
    <w:pPr>
      <w:keepLines/>
      <w:numPr>
        <w:numId w:val="6"/>
      </w:numPr>
      <w:tabs>
        <w:tab w:val="clear" w:pos="3335"/>
        <w:tab w:val="num" w:pos="925"/>
      </w:tabs>
      <w:spacing w:after="0" w:line="240" w:lineRule="auto"/>
      <w:ind w:left="-153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0"/>
    <w:link w:val="a9"/>
    <w:uiPriority w:val="99"/>
    <w:unhideWhenUsed/>
    <w:rsid w:val="00E66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1"/>
    <w:link w:val="a8"/>
    <w:uiPriority w:val="99"/>
    <w:rsid w:val="00E6678F"/>
    <w:rPr>
      <w:rFonts w:ascii="Calibri" w:eastAsia="Calibri" w:hAnsi="Calibri" w:cs="Times New Roman"/>
      <w:szCs w:val="21"/>
    </w:rPr>
  </w:style>
  <w:style w:type="character" w:styleId="aa">
    <w:name w:val="FollowedHyperlink"/>
    <w:basedOn w:val="a1"/>
    <w:uiPriority w:val="99"/>
    <w:semiHidden/>
    <w:unhideWhenUsed/>
    <w:rsid w:val="00CD4478"/>
    <w:rPr>
      <w:color w:val="800080"/>
      <w:u w:val="single"/>
    </w:rPr>
  </w:style>
  <w:style w:type="paragraph" w:customStyle="1" w:styleId="xl64">
    <w:name w:val="xl64"/>
    <w:basedOn w:val="a0"/>
    <w:rsid w:val="00CD44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D4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CD4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D44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D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D57A0"/>
    <w:rPr>
      <w:rFonts w:ascii="Tahoma" w:hAnsi="Tahoma" w:cs="Tahoma"/>
      <w:sz w:val="16"/>
      <w:szCs w:val="16"/>
    </w:rPr>
  </w:style>
  <w:style w:type="paragraph" w:styleId="ad">
    <w:name w:val="Body Text"/>
    <w:basedOn w:val="a0"/>
    <w:link w:val="ae"/>
    <w:rsid w:val="00D15817"/>
    <w:pPr>
      <w:suppressAutoHyphens/>
      <w:spacing w:after="12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rsid w:val="00D15817"/>
    <w:rPr>
      <w:rFonts w:ascii="Cambria" w:eastAsia="MS Mincho" w:hAnsi="Cambria" w:cs="Times New Roman"/>
      <w:sz w:val="24"/>
      <w:szCs w:val="24"/>
      <w:lang w:eastAsia="ar-SA"/>
    </w:rPr>
  </w:style>
  <w:style w:type="paragraph" w:styleId="af">
    <w:name w:val="Subtitle"/>
    <w:basedOn w:val="a0"/>
    <w:next w:val="a0"/>
    <w:link w:val="af0"/>
    <w:qFormat/>
    <w:rsid w:val="00D15817"/>
    <w:pPr>
      <w:suppressAutoHyphens/>
      <w:spacing w:after="60" w:line="240" w:lineRule="auto"/>
    </w:pPr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customStyle="1" w:styleId="af0">
    <w:name w:val="Подзаголовок Знак"/>
    <w:basedOn w:val="a1"/>
    <w:link w:val="af"/>
    <w:rsid w:val="00D15817"/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styleId="af1">
    <w:name w:val="Intense Emphasis"/>
    <w:qFormat/>
    <w:rsid w:val="00D15817"/>
    <w:rPr>
      <w:b/>
      <w:bCs/>
      <w:i/>
      <w:iCs/>
      <w:color w:val="4F81BD"/>
    </w:rPr>
  </w:style>
  <w:style w:type="paragraph" w:customStyle="1" w:styleId="WW-">
    <w:name w:val="WW-Базовый"/>
    <w:rsid w:val="00D15817"/>
    <w:pPr>
      <w:tabs>
        <w:tab w:val="left" w:pos="708"/>
      </w:tabs>
      <w:suppressAutoHyphens/>
      <w:spacing w:after="200" w:line="276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xl74">
    <w:name w:val="xl74"/>
    <w:basedOn w:val="a0"/>
    <w:rsid w:val="001904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60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D601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uiPriority w:val="10"/>
    <w:rsid w:val="00D601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2"/>
    <w:next w:val="a6"/>
    <w:uiPriority w:val="59"/>
    <w:rsid w:val="0079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59"/>
    <w:rsid w:val="0079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uiPriority w:val="99"/>
    <w:unhideWhenUsed/>
    <w:rsid w:val="0079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7900A2"/>
  </w:style>
  <w:style w:type="paragraph" w:styleId="af6">
    <w:name w:val="footer"/>
    <w:basedOn w:val="a0"/>
    <w:link w:val="af7"/>
    <w:uiPriority w:val="99"/>
    <w:unhideWhenUsed/>
    <w:rsid w:val="0079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790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1581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link w:val="20"/>
    <w:uiPriority w:val="9"/>
    <w:qFormat/>
    <w:rsid w:val="00D60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58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0"/>
    <w:uiPriority w:val="34"/>
    <w:qFormat/>
    <w:rsid w:val="007D4C2B"/>
    <w:pPr>
      <w:ind w:left="720"/>
      <w:contextualSpacing/>
    </w:pPr>
  </w:style>
  <w:style w:type="paragraph" w:styleId="a5">
    <w:name w:val="No Spacing"/>
    <w:uiPriority w:val="1"/>
    <w:qFormat/>
    <w:rsid w:val="00F31574"/>
    <w:pPr>
      <w:spacing w:after="0" w:line="240" w:lineRule="auto"/>
    </w:pPr>
  </w:style>
  <w:style w:type="table" w:styleId="a6">
    <w:name w:val="Table Grid"/>
    <w:basedOn w:val="a2"/>
    <w:uiPriority w:val="59"/>
    <w:rsid w:val="00AC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3A21F4"/>
    <w:rPr>
      <w:color w:val="0563C1" w:themeColor="hyperlink"/>
      <w:u w:val="single"/>
    </w:rPr>
  </w:style>
  <w:style w:type="paragraph" w:styleId="a">
    <w:name w:val="List Bullet"/>
    <w:basedOn w:val="a0"/>
    <w:qFormat/>
    <w:rsid w:val="00363558"/>
    <w:pPr>
      <w:keepLines/>
      <w:numPr>
        <w:numId w:val="6"/>
      </w:numPr>
      <w:tabs>
        <w:tab w:val="clear" w:pos="3335"/>
        <w:tab w:val="num" w:pos="925"/>
      </w:tabs>
      <w:spacing w:after="0" w:line="240" w:lineRule="auto"/>
      <w:ind w:left="-153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0"/>
    <w:link w:val="a9"/>
    <w:uiPriority w:val="99"/>
    <w:unhideWhenUsed/>
    <w:rsid w:val="00E66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1"/>
    <w:link w:val="a8"/>
    <w:uiPriority w:val="99"/>
    <w:rsid w:val="00E6678F"/>
    <w:rPr>
      <w:rFonts w:ascii="Calibri" w:eastAsia="Calibri" w:hAnsi="Calibri" w:cs="Times New Roman"/>
      <w:szCs w:val="21"/>
    </w:rPr>
  </w:style>
  <w:style w:type="character" w:styleId="aa">
    <w:name w:val="FollowedHyperlink"/>
    <w:basedOn w:val="a1"/>
    <w:uiPriority w:val="99"/>
    <w:semiHidden/>
    <w:unhideWhenUsed/>
    <w:rsid w:val="00CD4478"/>
    <w:rPr>
      <w:color w:val="800080"/>
      <w:u w:val="single"/>
    </w:rPr>
  </w:style>
  <w:style w:type="paragraph" w:customStyle="1" w:styleId="xl64">
    <w:name w:val="xl64"/>
    <w:basedOn w:val="a0"/>
    <w:rsid w:val="00CD44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D4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CD4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D44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D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D57A0"/>
    <w:rPr>
      <w:rFonts w:ascii="Tahoma" w:hAnsi="Tahoma" w:cs="Tahoma"/>
      <w:sz w:val="16"/>
      <w:szCs w:val="16"/>
    </w:rPr>
  </w:style>
  <w:style w:type="paragraph" w:styleId="ad">
    <w:name w:val="Body Text"/>
    <w:basedOn w:val="a0"/>
    <w:link w:val="ae"/>
    <w:rsid w:val="00D15817"/>
    <w:pPr>
      <w:suppressAutoHyphens/>
      <w:spacing w:after="12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rsid w:val="00D15817"/>
    <w:rPr>
      <w:rFonts w:ascii="Cambria" w:eastAsia="MS Mincho" w:hAnsi="Cambria" w:cs="Times New Roman"/>
      <w:sz w:val="24"/>
      <w:szCs w:val="24"/>
      <w:lang w:eastAsia="ar-SA"/>
    </w:rPr>
  </w:style>
  <w:style w:type="paragraph" w:styleId="af">
    <w:name w:val="Subtitle"/>
    <w:basedOn w:val="a0"/>
    <w:next w:val="a0"/>
    <w:link w:val="af0"/>
    <w:qFormat/>
    <w:rsid w:val="00D15817"/>
    <w:pPr>
      <w:suppressAutoHyphens/>
      <w:spacing w:after="60" w:line="240" w:lineRule="auto"/>
    </w:pPr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customStyle="1" w:styleId="af0">
    <w:name w:val="Подзаголовок Знак"/>
    <w:basedOn w:val="a1"/>
    <w:link w:val="af"/>
    <w:rsid w:val="00D15817"/>
    <w:rPr>
      <w:rFonts w:ascii="Cambria" w:eastAsia="Times New Roman" w:hAnsi="Cambria" w:cs="Times New Roman"/>
      <w:b/>
      <w:sz w:val="28"/>
      <w:szCs w:val="28"/>
      <w:lang w:val="en-US" w:eastAsia="ar-SA"/>
    </w:rPr>
  </w:style>
  <w:style w:type="character" w:styleId="af1">
    <w:name w:val="Intense Emphasis"/>
    <w:qFormat/>
    <w:rsid w:val="00D15817"/>
    <w:rPr>
      <w:b/>
      <w:bCs/>
      <w:i/>
      <w:iCs/>
      <w:color w:val="4F81BD"/>
    </w:rPr>
  </w:style>
  <w:style w:type="paragraph" w:customStyle="1" w:styleId="WW-">
    <w:name w:val="WW-Базовый"/>
    <w:rsid w:val="00D15817"/>
    <w:pPr>
      <w:tabs>
        <w:tab w:val="left" w:pos="708"/>
      </w:tabs>
      <w:suppressAutoHyphens/>
      <w:spacing w:after="200" w:line="276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xl74">
    <w:name w:val="xl74"/>
    <w:basedOn w:val="a0"/>
    <w:rsid w:val="001904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60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D601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uiPriority w:val="10"/>
    <w:rsid w:val="00D601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2"/>
    <w:next w:val="a6"/>
    <w:uiPriority w:val="59"/>
    <w:rsid w:val="0079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59"/>
    <w:rsid w:val="0079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uiPriority w:val="99"/>
    <w:unhideWhenUsed/>
    <w:rsid w:val="0079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7900A2"/>
  </w:style>
  <w:style w:type="paragraph" w:styleId="af6">
    <w:name w:val="footer"/>
    <w:basedOn w:val="a0"/>
    <w:link w:val="af7"/>
    <w:uiPriority w:val="99"/>
    <w:unhideWhenUsed/>
    <w:rsid w:val="0079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79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86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18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7187-917D-43C9-A138-05C18FAB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Э. Исмагилов</dc:creator>
  <cp:lastModifiedBy>user</cp:lastModifiedBy>
  <cp:revision>2</cp:revision>
  <dcterms:created xsi:type="dcterms:W3CDTF">2021-06-25T12:23:00Z</dcterms:created>
  <dcterms:modified xsi:type="dcterms:W3CDTF">2021-06-25T12:23:00Z</dcterms:modified>
</cp:coreProperties>
</file>