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CD" w:rsidRDefault="007451CD" w:rsidP="00745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838575" cy="1038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CD" w:rsidRPr="007451CD" w:rsidRDefault="007451CD" w:rsidP="007451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Выпуск: </w:t>
      </w:r>
      <w:hyperlink r:id="rId6" w:history="1">
        <w:r w:rsidRPr="0074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№133 (27550)</w:t>
        </w:r>
      </w:hyperlink>
    </w:p>
    <w:p w:rsidR="007451CD" w:rsidRDefault="007451CD" w:rsidP="007451CD">
      <w:pPr>
        <w:jc w:val="right"/>
      </w:pPr>
    </w:p>
    <w:p w:rsidR="007451CD" w:rsidRPr="007451CD" w:rsidRDefault="007451CD" w:rsidP="007451C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Что жильцам хорошо, то управляющим компаниям…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905000"/>
            <wp:effectExtent l="19050" t="0" r="9525" b="0"/>
            <wp:docPr id="1" name="inner_img" descr="http://www.rt-online.ru/upload/information_system_1/1/0/1/item_10101941/information_items_1010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_img" descr="http://www.rt-online.ru/upload/information_system_1/1/0/1/item_10101941/information_items_101019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val="en-US" w:eastAsia="ru-RU"/>
        </w:rPr>
      </w:pP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За последний год у населения еще сильнее упало доверие к организациям, обслуживающим жилищный фонд</w:t>
      </w:r>
    </w:p>
    <w:p w:rsid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Претензий у жильцов многоквартирных домов ко многим управляющим компаниям немало – и ремонт вовремя не делают, и в подъездах не убирают</w:t>
      </w:r>
      <w:proofErr w:type="gramStart"/>
      <w:r w:rsidRPr="0074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 А</w:t>
      </w:r>
      <w:proofErr w:type="gramEnd"/>
      <w:r w:rsidRPr="0074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главное – списывают на кошельки собственников жилья не только перерасход ресурсов, возникающий, в частности, из-за аварий в изношенных водопроводных и тепловых сетях, но и собственные растраты.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доверие к жилищным организациям у населения и вовсе рухнуло, но теперь уже не по их вине. С сентября прошлого года по сегодняшний день федеральные власти несколько раз меняли схемы расчета за жилищно-коммунальные услуги (ЖКУ) и платежей за электроэнергию по 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двухставочным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счетчикам, повышали тарифы, ликвидировали перекрестное субсидирование в теплоэнергетике</w:t>
      </w:r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общем, вконец запутали граждан, которые совсем перестали понимать систему начислений платы за ЖКУ.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Когда жильцы спрашивают у нас, почему в счетах-фактурах вновь видны кардинальные изменения, и мы пытаемся что-то  объяснить, то сами отмечаем, что наши объяснения не поддаются никакой логике, – признается директор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набережночелнинской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компании «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Николай Новиков.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вступившее в силу с 1 июня текущего года постановление Правительства РФ №344, внесшее очередные изменения в правила предоставления коммунальных услуг, еще больше раскололо жильцов и 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жилищников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два враждебных лагеря…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ДОЛГИ НАШИ. ИЛИ НЕ НАШИ?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Министерства строительства, архитектуры и ЖКХ, в Татарстане собираемость платежей за ЖКУ на сегодня составляет 98 процентов. Отличный показатель! Даже в европейских странах он не превышает 97 процентов. Однако по состоянию на 1 августа, как сообщил заместитель главы Минстроя Алексей Фролов, задолженность населения по квартплате (а по сути – управляющих компаний перед поставщиками ресурсов, поскольку жильцы в основном платят исправно) достигла почти 3,9 </w:t>
      </w:r>
      <w:proofErr w:type="spellStart"/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Между прочим, это сопоставимо с объемом начислений за ЖКУ по всей республике за более чем один месяц.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по информации, предоставленной пресс-службой «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Татэнергосбыта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просроченная задолженность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управкомпаний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(УК) за потребленную электроэнергию составила 295 </w:t>
      </w:r>
      <w:proofErr w:type="spellStart"/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рублей. В лидерах по объемам долга –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жилконторы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Казани, Нижнекамска и Набережных Челнов. </w:t>
      </w:r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уверяют в «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Татэнергосбыте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является гарантирующим поставщиком электроэнергии на территории Татарстана, эта компания уже расплатилась за поставляемый ресурс на оптовом рынке авансовыми платежами и сейчас фактически кредитует должников.</w:t>
      </w:r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УК законодательством предусмотрены льготные сроки оплаты – не позднее 15 числа следующего месяца. Несмотря на это,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жилищники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 просрочку от двух до шести месяцев. Возникающие кассовые разрывы приводят к дополнительным расходам «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Татэнергосбыта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 виде банковских процентов за кредиты и штрафных санкций на оптовом рынке электроэнергии…» – говорится в пресс-релизе компании.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ПЛАТИТЬ ИЛИ НЕ ПЛАТИТЬ – ВОТ В ЧЕМ ВОПРОС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Недобор платежей за ЖКУ резко растет. Причем как раз мы, обычные квартиросъемщики, в данном процессе виновны менее всего. Разумеется, если не брать во внимание несознательных собственников жилья, к примеру, ворующих электричество путем установки различных «жучков», нелегально сдающих внаем свои квартиры </w:t>
      </w:r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ораве</w:t>
      </w:r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гастарбайтеров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попросту забывающих расплатиться по счетам.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 упомянутое 344-е постановление избавляет жильцов от покрытия чрезмерно высоких расходов за ресурсы на пресловутые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(ОДН) – холодную и горячую воду, электричество и газ, на которые управленцы списывают все финансовые неприятности, связанные, к примеру, с латанием протекающих труб. Либо за счет которых покрываются нецелевые траты на приобретение дорогих автомобилей для своих нужд</w:t>
      </w:r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тныне плата за ОДН распределяется между жильцами в пределах установленных нормативов, не более того. Если, конечно, собственники квартир на общем собрании не решат взять эти расходы на себя – в зависимости от занимаемой жилплощади. Что случится вряд ли. </w:t>
      </w: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 тому же новым документом отменена плата за 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общедомовую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канализацию. Логично. Нормальные люди в подъездах, извините, не </w:t>
      </w:r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гадят</w:t>
      </w:r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– платежи за сверхнормативное потребление энергоресурсов возложили на 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управкомпании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предупреждают, что при таком раскладе они будут вынуждены через месяц-другой объявить себя банкротами. Погашать якобы за граждан неустойку они не намерены и готовы объявить мораторий на федеральное постановление. Вот такие дела.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ОБЩЕДОМОВЫЕ СЧЕТЧИКИ ВНЕ ЗАКОНА?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 1 июня, когда вступило в силу 344-е постановление, в Набережных Челнах ситуация с собираемостью платежей была позитивной – показатель составлял свыше ста процентов, – утверждает генеральный директор ЗАО «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Челныводоканал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Уел Хусаинов. – Теперь долги растут. Мне кажется, что этот документ разрабатывался людьми, плохо соображающими в жилищно-коммунальном хозяйстве. Посудите сами. В нашем городе многоквартирный жилой фонд оснащен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общедомовыми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приборами учета энергоресурсов на сто процентов, а поквартирными – на 99,5 процента. В соответствии с 344-м постановлением начисления производятся по индивидуальным счетчикам. Получается, что коллективные приборы выводятся из игры. Хотя, допустим, в Германии население оплачивает услугу водоснабжения исключительно по 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общедомовым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счетчикам, а поквартирных там даже и нет, поскольку из-за них возникают проблемы – кто-то  из жильцов забывает вовремя передавать показания счетчиков, кто-то  занижает данные приборов…</w:t>
      </w:r>
    </w:p>
    <w:p w:rsidR="007451CD" w:rsidRPr="007451CD" w:rsidRDefault="007451CD" w:rsidP="007451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shd w:val="clear" w:color="auto" w:fill="C0C0C0"/>
          <w:lang w:eastAsia="ru-RU"/>
        </w:rPr>
        <w:t xml:space="preserve">По состоянию на 1 августа в Татарстане задолженность населения по квартплате (а по сути – управляющих компаний перед поставщиками ресурсов, поскольку жильцы в основном платят исправно) достигла почти 3,9 </w:t>
      </w:r>
      <w:proofErr w:type="spellStart"/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shd w:val="clear" w:color="auto" w:fill="C0C0C0"/>
          <w:lang w:eastAsia="ru-RU"/>
        </w:rPr>
        <w:t>млрд</w:t>
      </w:r>
      <w:proofErr w:type="spellEnd"/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shd w:val="clear" w:color="auto" w:fill="C0C0C0"/>
          <w:lang w:eastAsia="ru-RU"/>
        </w:rPr>
        <w:t xml:space="preserve"> рублей. Это сопоставимо с объемом начислений за ЖКУ по всей республике за более чем один месяц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только по «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Челныводоканалу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 июнь-июль разница между поставленной и начисленной услугой составила девять миллионов рублей, которые никто не возместит. Выходит, реализованная республиканская программа по оснащению всего жилфонда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общедомовыми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приборами учета ресурсов теперь не имеет смысла? По словам</w:t>
      </w:r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Хусаинова, 344-е постановление вообще противоречит федеральному законодательству о водоснабжении, в соответствии с которым расчет за услугу водоотведения производится по приборам учета потребления воды. Сейчас же получается, что такой коммуникации, как канализация, практически не существует.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СТИМУЛИРОВАТЬ ОБЯЗАННОСТЬ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ситуации вопрос собираемости платежей стоит особенно остро. И заниматься им – прямая обязанность управляющих компаний. Однако для некоторых из них его решение оборачивается очередной проблемой. К примеру, генеральный директор казанской УК «Уютный дом» Марат Нуриев объясняет ее нехваткой кадров.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УК имеют единственный источник существования – это плата за управление жилфондом, следовательно, они не имеют возможности погашать образовавшиеся задолженности, – считает заместитель генерального директора ОАО «Генерирующая компания» Олег Зверев. – Поэтому мы стараемся стимулировать жилищные организации усиливать работу по сбору платежей. Особенно в канун отопительного сезона. В Набережных Челнах со всеми крупными управляющими компаниями заключили дополнительные соглашения к договорам о теплоснабжении – по обеспечению стопроцентного сбора платежей за тепло и горячую воду. То есть из средств нашей компании выплатили жилищным организациям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автограда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 </w:t>
      </w:r>
      <w:proofErr w:type="spellStart"/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и еще около миллиона – казанским УК. Планируем наладить такую работу и в Нижнекамске.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сообщил Марат Нуриев, на целевые деньги, предоставленные Генерирующей компанией, «Уютный дом» через службу занятости нанял дополнительных сотрудников, которые целенаправленно занимаются «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трудом.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ВЕРНИТЕ ДЕНЬГИ!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№344 управляющей компании дается право самостоятельно устанавливать реальное количество граждан, проживающих в квартире, не оснащенной индивидуальными приборами учета холодной и горячей воды, электроэнергии и газа.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Этот документ рассчитан на идеального потребителя ЖКУ и идеальную управляющую компанию, – считает заместитель гендиректора по реализации тепловой энергии Генерирующей компании Адель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Славутин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Недавно в Нижнекамске мы выявили случай, когда в жилом помещении прописан один человек, а проживают десять. Но чтобы установить такой факт, нужно, во-первых, за десять дней уведомить квартиросъемщика, что ты к нему придешь. Во-вторых, даже если он тебя пустил на свою жилплощадь, сначала налоговая служба должна составить соответствующий акт, который необходимо направить в прокуратуру, где по </w:t>
      </w:r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времени вынесут постановление. Только тогда УК сможет сделать перерасчет платежей. На это уходит как минимум два месяца, к тому же существует право потребителя обжаловать решение в суде. Вместе с тем денег у жилищных организаций, существующих на плату за управление жилфондом, не прибавляется. А впереди – отопительный сезон. И 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ресурсо-снабжающие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стали заложниками этой ситуации, поскольку не дать тепло в жилые дома мы не можем…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 повышения собираемости платежей делаем все возможное и невозможное, – утверждает Марат Нуриев. – В прошлом году получили положительные судебные решения по искам на жильцов на 11,5 </w:t>
      </w:r>
      <w:proofErr w:type="spellStart"/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рублей. При этом оплатили госпошлину в размере 600 тысяч рублей. Однако при помощи судебных приставов удалось вернуть всего 160 тысяч. А если мы начинаем давить на должников путем ограничения поставки какого-либо ресурса, то они опять-таки обращаются в суд. На мой взгляд, </w:t>
      </w: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лучший способ воздействовать на неплательщиков – через единые расчетные центры, куда люди идут за различными справками и выписками. Не давать должникам нужные бумаги, пока не расплатятся по счетам!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заместителя председателя комитета ЖКХ исполкома Казани Альберта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Халиуллова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проблемы, которые возникли со вступлением в силу 344-го постановления, глобальные. И они могут </w:t>
      </w:r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ни много ни мало</w:t>
      </w:r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разрушению жилищно-коммунального комплекса. За два месяца действия этого документа в Казани объем нераспределенной суммы по ОДН составил 23 </w:t>
      </w:r>
      <w:proofErr w:type="spellStart"/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 Но если учесть, что в летний период потребление коммунальных услуг в полтора раза меньше, чем в зимний, то столичные чиновники прогнозируют ежемесячную неустойку по 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общедомовым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нуждам в размере 30 </w:t>
      </w:r>
      <w:proofErr w:type="spellStart"/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рублей. Для сравнения: весь доход УК Казани по статье «Управление жилфондом» не превышает 34 </w:t>
      </w:r>
      <w:proofErr w:type="spellStart"/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в месяц.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 таких условиях управляющие компании существовать не смогут, – уверен Альберт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Халиуллов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 федеральный законодатель, установивший норму, предусматривающую, что УК должны возмещать стоимость ОДН из собственных средств, не просчитал – из каких таких средств?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Зампред столичного комитета ЖКХ сетует и на плохую работу службы судебных приставов. На сегодня по Казани имеются положительные судебные решения по 2061 делу на должников за ЖКУ на общую сумму в сто миллионов рублей. Однако, по мнению Альберта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Халиуллова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приставы фактически бездействуют, ограничиваясь запретом на выезд неплательщиков за границу.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Хотя есть собственники, долг которых по квартплате сопоставим с половиной стоимости жилья, – констатирует он. – Но выселить из квартиры семью, задолжавшую, к примеру, 800 тысяч рублей, мы вправе лишь в том случае, когда она не платит за ЖКУ в течение полугода. А если за этот период внесла на счет </w:t>
      </w:r>
      <w:proofErr w:type="gram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gram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 бы один рубль, – закон на ее стороне…</w:t>
      </w:r>
    </w:p>
    <w:p w:rsidR="007451CD" w:rsidRPr="007451CD" w:rsidRDefault="007451CD" w:rsidP="007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общем, государство, приняв постановление №344, изменившее некоторые нормы платы за ЖКУ и вставшее на сторону жильцов, хотело несколько умерить аппетиты </w:t>
      </w:r>
      <w:proofErr w:type="spellStart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управкомпаний</w:t>
      </w:r>
      <w:proofErr w:type="spellEnd"/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призвать их к порядку. Однако не все так просто. Теперь татарстанские власти в солидарности с другими региональными чиновниками намерены выйти на Федеральный центр с требованиями отменить или существенно скорректировать этот документ.</w:t>
      </w:r>
    </w:p>
    <w:p w:rsidR="007451CD" w:rsidRPr="007451CD" w:rsidRDefault="007451CD" w:rsidP="007451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статьи: </w:t>
      </w:r>
      <w:hyperlink r:id="rId8" w:history="1">
        <w:r w:rsidRPr="0074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ДЕМИНА Ирина</w:t>
        </w:r>
      </w:hyperlink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Дата: 06.09.2013</w:t>
      </w:r>
      <w:r w:rsidRPr="0074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Выпуск: </w:t>
      </w:r>
      <w:hyperlink r:id="rId9" w:history="1">
        <w:r w:rsidRPr="00745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№133 (27550)</w:t>
        </w:r>
      </w:hyperlink>
    </w:p>
    <w:p w:rsidR="009559D5" w:rsidRDefault="009559D5" w:rsidP="007451CD">
      <w:pPr>
        <w:jc w:val="right"/>
      </w:pPr>
    </w:p>
    <w:sectPr w:rsidR="009559D5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C5875"/>
    <w:multiLevelType w:val="multilevel"/>
    <w:tmpl w:val="898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A724B"/>
    <w:multiLevelType w:val="multilevel"/>
    <w:tmpl w:val="8ED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51CD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51CD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4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paragraph" w:styleId="1">
    <w:name w:val="heading 1"/>
    <w:basedOn w:val="a"/>
    <w:link w:val="10"/>
    <w:uiPriority w:val="9"/>
    <w:qFormat/>
    <w:rsid w:val="00745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51CD"/>
    <w:rPr>
      <w:color w:val="0000FF"/>
      <w:u w:val="single"/>
    </w:rPr>
  </w:style>
  <w:style w:type="character" w:customStyle="1" w:styleId="value">
    <w:name w:val="value"/>
    <w:basedOn w:val="a0"/>
    <w:rsid w:val="007451CD"/>
  </w:style>
  <w:style w:type="paragraph" w:styleId="a4">
    <w:name w:val="Normal (Web)"/>
    <w:basedOn w:val="a"/>
    <w:uiPriority w:val="99"/>
    <w:semiHidden/>
    <w:unhideWhenUsed/>
    <w:rsid w:val="0074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1CD"/>
    <w:rPr>
      <w:b/>
      <w:bCs/>
    </w:rPr>
  </w:style>
  <w:style w:type="paragraph" w:customStyle="1" w:styleId="authorr">
    <w:name w:val="author_r"/>
    <w:basedOn w:val="a"/>
    <w:rsid w:val="0074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-online.ru/catalog/searchByAuthor/?author=456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-online.ru/archive/1010190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-online.ru/archive/101019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10224</Characters>
  <Application>Microsoft Office Word</Application>
  <DocSecurity>0</DocSecurity>
  <Lines>85</Lines>
  <Paragraphs>23</Paragraphs>
  <ScaleCrop>false</ScaleCrop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2013-09-09T07:46:00Z</dcterms:created>
  <dcterms:modified xsi:type="dcterms:W3CDTF">2013-09-09T07:47:00Z</dcterms:modified>
</cp:coreProperties>
</file>